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wmf" ContentType="image/x-wmf"/>
  <Override PartName="/word/media/image2.wmf" ContentType="image/x-wmf"/>
  <Override PartName="/word/media/image3.wmf" ContentType="image/x-wmf"/>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LOnormal"/>
        <w:jc w:val="center"/>
        <w:rPr>
          <w:b/>
          <w:b/>
          <w:bCs/>
        </w:rPr>
      </w:pPr>
      <w:r>
        <w:rPr>
          <w:b/>
          <w:bCs/>
        </w:rPr>
      </w:r>
    </w:p>
    <w:p>
      <w:pPr>
        <w:pStyle w:val="LOnormal"/>
        <w:jc w:val="right"/>
        <w:rPr>
          <w:rFonts w:ascii="Titillium Web" w:hAnsi="Titillium Web"/>
          <w:sz w:val="22"/>
          <w:szCs w:val="22"/>
        </w:rPr>
      </w:pPr>
      <w:r>
        <w:rPr>
          <w:rFonts w:ascii="Titillium Web" w:hAnsi="Titillium Web"/>
          <w:b/>
          <w:bCs/>
          <w:sz w:val="22"/>
          <w:szCs w:val="22"/>
        </w:rPr>
        <w:t xml:space="preserve">Modello H) </w:t>
      </w:r>
      <w:r>
        <w:rPr>
          <w:rFonts w:ascii="Titillium Web" w:hAnsi="Titillium Web"/>
          <w:b/>
          <w:bCs/>
          <w:color w:val="000000"/>
          <w:sz w:val="22"/>
          <w:szCs w:val="22"/>
        </w:rPr>
        <w:t>dichiarazione ulteriori principi e condizioni nell’ambito degli interventi a valere sul PNRR</w:t>
      </w:r>
    </w:p>
    <w:p>
      <w:pPr>
        <w:pStyle w:val="Western"/>
        <w:spacing w:lineRule="auto" w:line="240" w:beforeAutospacing="0" w:before="280" w:after="0"/>
        <w:rPr>
          <w:rFonts w:ascii="Titillium Web" w:hAnsi="Titillium Web"/>
          <w:b/>
          <w:b/>
          <w:bCs/>
          <w:sz w:val="22"/>
          <w:szCs w:val="22"/>
        </w:rPr>
      </w:pPr>
      <w:r>
        <w:rPr>
          <w:rFonts w:ascii="Titillium Web" w:hAnsi="Titillium Web"/>
          <w:b/>
          <w:bCs/>
          <w:sz w:val="22"/>
          <w:szCs w:val="22"/>
        </w:rPr>
      </w:r>
    </w:p>
    <w:p>
      <w:pPr>
        <w:pStyle w:val="Western"/>
        <w:spacing w:lineRule="auto" w:line="240" w:beforeAutospacing="0" w:before="280" w:after="0"/>
        <w:rPr>
          <w:rFonts w:ascii="Titillium Web" w:hAnsi="Titillium Web"/>
          <w:b/>
          <w:b/>
          <w:bCs/>
          <w:sz w:val="22"/>
          <w:szCs w:val="22"/>
        </w:rPr>
      </w:pPr>
      <w:r>
        <w:rPr>
          <w:rFonts w:ascii="Titillium Web" w:hAnsi="Titillium Web"/>
          <w:b/>
          <w:bCs/>
          <w:sz w:val="22"/>
          <w:szCs w:val="22"/>
        </w:rPr>
      </w:r>
    </w:p>
    <w:p>
      <w:pPr>
        <w:pStyle w:val="Western"/>
        <w:spacing w:lineRule="auto" w:line="240" w:beforeAutospacing="0" w:before="280" w:after="0"/>
        <w:jc w:val="right"/>
        <w:rPr>
          <w:rFonts w:ascii="Titillium Web" w:hAnsi="Titillium Web"/>
          <w:sz w:val="22"/>
          <w:szCs w:val="22"/>
        </w:rPr>
      </w:pPr>
      <w:r>
        <w:rPr>
          <w:rFonts w:ascii="Titillium Web" w:hAnsi="Titillium Web"/>
          <w:sz w:val="22"/>
          <w:szCs w:val="22"/>
        </w:rPr>
        <w:t>All’UNIONE DEI COMUNI</w:t>
      </w:r>
    </w:p>
    <w:p>
      <w:pPr>
        <w:pStyle w:val="NormalWeb"/>
        <w:spacing w:lineRule="auto" w:line="240" w:beforeAutospacing="0" w:before="280" w:after="0"/>
        <w:ind w:left="4956" w:firstLine="6"/>
        <w:jc w:val="right"/>
        <w:rPr>
          <w:rFonts w:ascii="Titillium Web" w:hAnsi="Titillium Web"/>
          <w:sz w:val="22"/>
          <w:szCs w:val="22"/>
        </w:rPr>
      </w:pPr>
      <w:r>
        <w:rPr>
          <w:rFonts w:ascii="Titillium Web" w:hAnsi="Titillium Web"/>
          <w:sz w:val="22"/>
          <w:szCs w:val="22"/>
        </w:rPr>
        <w:t>VALLI DEL RENO LAVINO E SAMOGGIA</w:t>
      </w:r>
    </w:p>
    <w:p>
      <w:pPr>
        <w:pStyle w:val="NormalWeb"/>
        <w:spacing w:lineRule="auto" w:line="240" w:beforeAutospacing="0" w:before="280" w:after="0"/>
        <w:ind w:left="4956" w:firstLine="6"/>
        <w:jc w:val="right"/>
        <w:rPr>
          <w:rFonts w:ascii="Titillium Web" w:hAnsi="Titillium Web"/>
          <w:sz w:val="22"/>
          <w:szCs w:val="22"/>
        </w:rPr>
      </w:pPr>
      <w:r>
        <w:rPr>
          <w:rFonts w:ascii="Titillium Web" w:hAnsi="Titillium Web"/>
          <w:sz w:val="22"/>
          <w:szCs w:val="22"/>
        </w:rPr>
        <w:t>Servizio Associato Gare</w:t>
      </w:r>
    </w:p>
    <w:p>
      <w:pPr>
        <w:pStyle w:val="NormalWeb"/>
        <w:spacing w:lineRule="auto" w:line="240" w:beforeAutospacing="0" w:before="280" w:after="0"/>
        <w:ind w:left="4956" w:firstLine="6"/>
        <w:jc w:val="right"/>
        <w:rPr>
          <w:rFonts w:ascii="Titillium Web" w:hAnsi="Titillium Web"/>
          <w:sz w:val="22"/>
          <w:szCs w:val="22"/>
        </w:rPr>
      </w:pPr>
      <w:r>
        <w:rPr>
          <w:rFonts w:ascii="Titillium Web" w:hAnsi="Titillium Web"/>
          <w:sz w:val="22"/>
          <w:szCs w:val="22"/>
        </w:rPr>
        <w:t>Sede Servizio: P.zza dei Martiri 6</w:t>
      </w:r>
    </w:p>
    <w:p>
      <w:pPr>
        <w:pStyle w:val="NormalWeb"/>
        <w:spacing w:lineRule="auto" w:line="240" w:beforeAutospacing="0" w:before="280" w:after="0"/>
        <w:ind w:left="4956" w:firstLine="6"/>
        <w:jc w:val="right"/>
        <w:rPr>
          <w:rFonts w:ascii="Titillium Web" w:hAnsi="Titillium Web"/>
          <w:sz w:val="22"/>
          <w:szCs w:val="22"/>
        </w:rPr>
      </w:pPr>
      <w:r>
        <w:rPr>
          <w:rFonts w:ascii="Titillium Web" w:hAnsi="Titillium Web"/>
          <w:sz w:val="22"/>
          <w:szCs w:val="22"/>
        </w:rPr>
        <w:t>40037 – Sasso Marconi (BO)</w:t>
      </w:r>
    </w:p>
    <w:p>
      <w:pPr>
        <w:pStyle w:val="Western"/>
        <w:spacing w:lineRule="auto" w:line="240" w:beforeAutospacing="0" w:before="280" w:after="0"/>
        <w:jc w:val="both"/>
        <w:rPr>
          <w:rFonts w:ascii="Titillium Web" w:hAnsi="Titillium Web"/>
          <w:b/>
          <w:b/>
          <w:bCs/>
          <w:sz w:val="22"/>
          <w:szCs w:val="22"/>
        </w:rPr>
      </w:pPr>
      <w:r>
        <w:rPr>
          <w:rFonts w:ascii="Titillium Web" w:hAnsi="Titillium Web"/>
          <w:b/>
          <w:bCs/>
          <w:sz w:val="22"/>
          <w:szCs w:val="22"/>
        </w:rPr>
      </w:r>
    </w:p>
    <w:p>
      <w:pPr>
        <w:pStyle w:val="Western"/>
        <w:spacing w:lineRule="auto" w:line="240" w:beforeAutospacing="0" w:before="280" w:after="0"/>
        <w:jc w:val="both"/>
        <w:rPr>
          <w:rFonts w:ascii="Titillium Web" w:hAnsi="Titillium Web"/>
          <w:b/>
          <w:b/>
          <w:bCs/>
          <w:sz w:val="22"/>
          <w:szCs w:val="22"/>
        </w:rPr>
      </w:pPr>
      <w:r>
        <w:rPr>
          <w:rFonts w:ascii="Titillium Web" w:hAnsi="Titillium Web"/>
          <w:b/>
          <w:bCs/>
          <w:sz w:val="22"/>
          <w:szCs w:val="22"/>
        </w:rPr>
      </w:r>
    </w:p>
    <w:p>
      <w:pPr>
        <w:pStyle w:val="Normal"/>
        <w:suppressAutoHyphens w:val="true"/>
        <w:spacing w:lineRule="auto" w:line="240" w:before="0" w:after="0"/>
        <w:jc w:val="both"/>
        <w:rPr>
          <w:sz w:val="20"/>
          <w:szCs w:val="20"/>
        </w:rPr>
      </w:pPr>
      <w:r>
        <w:rPr>
          <w:rFonts w:eastAsia="SimSun;宋体" w:cs="Verdana" w:ascii="Titillium Web" w:hAnsi="Titillium Web"/>
          <w:b/>
          <w:bCs/>
          <w:spacing w:val="-3"/>
          <w:sz w:val="22"/>
          <w:szCs w:val="22"/>
          <w:lang w:eastAsia="zh-CN" w:bidi="hi-IN"/>
        </w:rPr>
        <w:t xml:space="preserve">OGGETTO: </w:t>
      </w:r>
      <w:r>
        <w:rPr>
          <w:rStyle w:val="Carpredefinitoparagrafo"/>
          <w:rFonts w:eastAsia="Swis721 Lt BT" w:cs="Calibri Light" w:ascii="Titillium Web" w:hAnsi="Titillium Web"/>
          <w:b/>
          <w:bCs/>
          <w:i w:val="false"/>
          <w:iCs w:val="false"/>
          <w:caps w:val="false"/>
          <w:smallCaps w:val="false"/>
          <w:strike w:val="false"/>
          <w:dstrike w:val="false"/>
          <w:color w:val="000000"/>
          <w:spacing w:val="-3"/>
          <w:kern w:val="2"/>
          <w:sz w:val="22"/>
          <w:szCs w:val="22"/>
          <w:u w:val="none"/>
          <w:lang w:val="it-IT" w:eastAsia="ar-SA" w:bidi="ar-SA"/>
        </w:rPr>
        <w:t xml:space="preserve">PROCEDURA NEGOZIATA </w:t>
      </w:r>
      <w:r>
        <w:rPr>
          <w:rStyle w:val="Carpredefinitoparagrafo"/>
          <w:rFonts w:eastAsia="Swis721 Lt BT" w:cs="Verdana" w:ascii="Titillium Web" w:hAnsi="Titillium Web"/>
          <w:b/>
          <w:bCs/>
          <w:i w:val="false"/>
          <w:iCs w:val="false"/>
          <w:caps w:val="false"/>
          <w:smallCaps w:val="false"/>
          <w:strike w:val="false"/>
          <w:dstrike w:val="false"/>
          <w:color w:val="000000"/>
          <w:spacing w:val="-3"/>
          <w:kern w:val="2"/>
          <w:sz w:val="22"/>
          <w:szCs w:val="22"/>
          <w:u w:val="none"/>
          <w:lang w:val="it-IT" w:eastAsia="ar-SA" w:bidi="ar-SA"/>
        </w:rPr>
        <w:t>URGENTE</w:t>
      </w:r>
      <w:r>
        <w:rPr>
          <w:rStyle w:val="Carpredefinitoparagrafo"/>
          <w:rFonts w:eastAsia="Swis721 Lt BT" w:cs="Verdana" w:ascii="Titillium Web" w:hAnsi="Titillium Web"/>
          <w:b/>
          <w:bCs/>
          <w:i w:val="false"/>
          <w:iCs w:val="false"/>
          <w:caps w:val="false"/>
          <w:smallCaps w:val="false"/>
          <w:strike w:val="false"/>
          <w:dstrike w:val="false"/>
          <w:color w:val="000000"/>
          <w:spacing w:val="-3"/>
          <w:kern w:val="2"/>
          <w:sz w:val="22"/>
          <w:szCs w:val="22"/>
          <w:u w:val="none"/>
          <w:lang w:val="it-IT" w:eastAsia="ar-SA" w:bidi="ar-SA"/>
        </w:rPr>
        <w:t xml:space="preserve"> </w:t>
      </w:r>
      <w:r>
        <w:rPr>
          <w:rStyle w:val="Carpredefinitoparagrafo"/>
          <w:rFonts w:eastAsia="Swis721 Lt BT" w:cs="Verdana" w:ascii="Titillium Web" w:hAnsi="Titillium Web"/>
          <w:b/>
          <w:bCs/>
          <w:i w:val="false"/>
          <w:iCs w:val="false"/>
          <w:caps w:val="false"/>
          <w:smallCaps w:val="false"/>
          <w:strike w:val="false"/>
          <w:dstrike w:val="false"/>
          <w:color w:val="000000"/>
          <w:spacing w:val="-3"/>
          <w:kern w:val="2"/>
          <w:sz w:val="22"/>
          <w:szCs w:val="22"/>
          <w:u w:val="none"/>
          <w:lang w:val="it-IT" w:eastAsia="ar-SA" w:bidi="ar-SA"/>
        </w:rPr>
        <w:t>AI SENSI DELL’ART. 1, COMMA 2 LETT. B), DEL D.L. N. 76/2020, CONVERTITO CON L. N. 120/2020, COME MODIFICATO DAL D.L. 77/2021 CONVERTITO IN L. 108/2021,</w:t>
      </w:r>
      <w:r>
        <w:rPr>
          <w:rStyle w:val="Carpredefinitoparagrafo"/>
          <w:rFonts w:eastAsia="Swis721 Lt BT" w:cs="Calibri Light" w:ascii="Titillium Web" w:hAnsi="Titillium Web"/>
          <w:b/>
          <w:bCs/>
          <w:i w:val="false"/>
          <w:iCs w:val="false"/>
          <w:caps w:val="false"/>
          <w:smallCaps w:val="false"/>
          <w:strike w:val="false"/>
          <w:dstrike w:val="false"/>
          <w:color w:val="000000"/>
          <w:spacing w:val="-3"/>
          <w:kern w:val="2"/>
          <w:sz w:val="22"/>
          <w:szCs w:val="22"/>
          <w:u w:val="none"/>
          <w:lang w:val="it-IT" w:eastAsia="ar-SA" w:bidi="ar-SA"/>
        </w:rPr>
        <w:t xml:space="preserve"> PER L’AFFIDAMENTO PER IL COMUNE DI </w:t>
      </w:r>
      <w:r>
        <w:rPr>
          <w:rStyle w:val="Carpredefinitoparagrafo"/>
          <w:rFonts w:eastAsia="Swis721 Lt BT" w:cs="Calibri Light" w:ascii="Titillium Web" w:hAnsi="Titillium Web"/>
          <w:b/>
          <w:bCs/>
          <w:i w:val="false"/>
          <w:iCs w:val="false"/>
          <w:caps w:val="false"/>
          <w:smallCaps w:val="false"/>
          <w:strike w:val="false"/>
          <w:dstrike w:val="false"/>
          <w:color w:val="000000"/>
          <w:spacing w:val="-3"/>
          <w:kern w:val="2"/>
          <w:sz w:val="22"/>
          <w:szCs w:val="22"/>
          <w:u w:val="none"/>
          <w:lang w:val="it-IT" w:eastAsia="ar-SA" w:bidi="ar-SA"/>
        </w:rPr>
        <w:t>ZOLA PREDOSA</w:t>
      </w:r>
      <w:r>
        <w:rPr>
          <w:rStyle w:val="Carpredefinitoparagrafo"/>
          <w:rFonts w:eastAsia="Swis721 Lt BT" w:cs="Calibri Light" w:ascii="Titillium Web" w:hAnsi="Titillium Web"/>
          <w:b/>
          <w:bCs/>
          <w:i w:val="false"/>
          <w:iCs w:val="false"/>
          <w:caps w:val="false"/>
          <w:smallCaps w:val="false"/>
          <w:strike w:val="false"/>
          <w:dstrike w:val="false"/>
          <w:color w:val="000000"/>
          <w:spacing w:val="-3"/>
          <w:kern w:val="2"/>
          <w:sz w:val="22"/>
          <w:szCs w:val="22"/>
          <w:u w:val="none"/>
          <w:lang w:val="it-IT" w:eastAsia="ar-SA" w:bidi="ar-SA"/>
        </w:rPr>
        <w:t xml:space="preserve">  DEI LAVORI DI </w:t>
      </w:r>
      <w:r>
        <w:rPr>
          <w:rStyle w:val="Carpredefinitoparagrafo"/>
          <w:rFonts w:eastAsia="Swis721 Lt BT" w:cs="Calibri Light" w:ascii="Titillium Web" w:hAnsi="Titillium Web"/>
          <w:b/>
          <w:bCs/>
          <w:i w:val="false"/>
          <w:iCs w:val="false"/>
          <w:caps w:val="false"/>
          <w:smallCaps w:val="false"/>
          <w:strike w:val="false"/>
          <w:dstrike w:val="false"/>
          <w:color w:val="000000"/>
          <w:spacing w:val="-3"/>
          <w:kern w:val="2"/>
          <w:sz w:val="22"/>
          <w:szCs w:val="22"/>
          <w:u w:val="none"/>
          <w:lang w:val="it-IT" w:eastAsia="ar-SA" w:bidi="ar-SA"/>
        </w:rPr>
        <w:t xml:space="preserve">REALIZZAZIONE </w:t>
      </w:r>
      <w:r>
        <w:rPr>
          <w:rStyle w:val="Carpredefinitoparagrafo"/>
          <w:rFonts w:eastAsia="Swis721 Lt BT" w:cs="Calibri Light" w:ascii="Titillium Web" w:hAnsi="Titillium Web"/>
          <w:b/>
          <w:bCs/>
          <w:i w:val="false"/>
          <w:iCs w:val="false"/>
          <w:caps w:val="false"/>
          <w:smallCaps w:val="false"/>
          <w:strike w:val="false"/>
          <w:dstrike w:val="false"/>
          <w:color w:val="000000"/>
          <w:spacing w:val="-3"/>
          <w:kern w:val="2"/>
          <w:sz w:val="22"/>
          <w:szCs w:val="22"/>
          <w:u w:val="none"/>
          <w:lang w:val="it-IT" w:eastAsia="ar-SA" w:bidi="ar-SA"/>
        </w:rPr>
        <w:t>DEGLI INTERVENTI DI Riqualificazione centro polifunzionale per la famiglia – via Cellini:   MISSIONE 4 – COMPONENTE 1 – INVESTIMENTO 1.1 “PIANO PER ASILI NIDO E SCUOLE DELL’INFANZIA E SERVIZI DI EDUCAZIONE E CURA PER LA PRIMA INFANZIA”, FINANZIATO</w:t>
      </w:r>
      <w:r>
        <w:rPr>
          <w:rStyle w:val="Carpredefinitoparagrafo"/>
          <w:rFonts w:eastAsia="Swis721 Lt BT" w:cs="Calibri Light" w:ascii="Titillium Web" w:hAnsi="Titillium Web"/>
          <w:b/>
          <w:bCs/>
          <w:i w:val="false"/>
          <w:iCs w:val="false"/>
          <w:caps w:val="false"/>
          <w:smallCaps w:val="false"/>
          <w:strike w:val="false"/>
          <w:dstrike w:val="false"/>
          <w:color w:val="000000"/>
          <w:spacing w:val="-3"/>
          <w:kern w:val="2"/>
          <w:sz w:val="22"/>
          <w:szCs w:val="22"/>
          <w:u w:val="none"/>
          <w:lang w:val="it-IT" w:eastAsia="ar-SA" w:bidi="ar-SA"/>
        </w:rPr>
        <w:t xml:space="preserve"> DALL’UNIONE EUROPEA – NEXT GENERATION EU:  CUP </w:t>
      </w:r>
      <w:r>
        <w:rPr>
          <w:rStyle w:val="Carpredefinitoparagrafo"/>
          <w:rFonts w:eastAsia="Swis721 Lt BT" w:cs="Calibri Light" w:ascii="Titillium Web" w:hAnsi="Titillium Web"/>
          <w:b/>
          <w:bCs/>
          <w:i w:val="false"/>
          <w:iCs w:val="false"/>
          <w:caps w:val="false"/>
          <w:smallCaps w:val="false"/>
          <w:strike w:val="false"/>
          <w:dstrike w:val="false"/>
          <w:color w:val="000000"/>
          <w:spacing w:val="-3"/>
          <w:kern w:val="2"/>
          <w:sz w:val="22"/>
          <w:szCs w:val="22"/>
          <w:u w:val="none"/>
          <w:lang w:val="it-IT" w:eastAsia="ar-SA" w:bidi="ar-SA"/>
        </w:rPr>
        <w:t>C34E21000280001</w:t>
      </w:r>
      <w:r>
        <w:rPr>
          <w:rStyle w:val="Carpredefinitoparagrafo"/>
          <w:rFonts w:eastAsia="Swis721 Lt BT" w:cs="Calibri Light" w:ascii="Titillium Web" w:hAnsi="Titillium Web"/>
          <w:b/>
          <w:bCs/>
          <w:i w:val="false"/>
          <w:iCs w:val="false"/>
          <w:caps w:val="false"/>
          <w:smallCaps w:val="false"/>
          <w:strike w:val="false"/>
          <w:dstrike w:val="false"/>
          <w:color w:val="000000"/>
          <w:spacing w:val="-3"/>
          <w:kern w:val="2"/>
          <w:sz w:val="22"/>
          <w:szCs w:val="22"/>
          <w:u w:val="none"/>
          <w:lang w:val="it-IT" w:eastAsia="ar-SA" w:bidi="ar-SA"/>
        </w:rPr>
        <w:t xml:space="preserve"> – CIG 9823672E93</w:t>
      </w:r>
      <w:r>
        <w:rPr>
          <w:rFonts w:eastAsia="SimSun;宋体" w:cs="Verdana" w:ascii="Titillium Web" w:hAnsi="Titillium Web"/>
          <w:b/>
          <w:bCs/>
          <w:color w:val="202124"/>
          <w:spacing w:val="-3"/>
          <w:sz w:val="22"/>
          <w:szCs w:val="22"/>
          <w:lang w:eastAsia="zh-CN" w:bidi="hi-IN"/>
        </w:rPr>
        <w:t xml:space="preserve">- </w:t>
      </w:r>
      <w:r>
        <w:rPr>
          <w:rFonts w:eastAsia="SimSun;宋体" w:cs="Verdana" w:ascii="Titillium Web" w:hAnsi="Titillium Web"/>
          <w:b/>
          <w:bCs/>
          <w:color w:val="202124"/>
          <w:spacing w:val="-3"/>
          <w:sz w:val="22"/>
          <w:szCs w:val="22"/>
          <w:lang w:eastAsia="zh-CN" w:bidi="hi-IN"/>
        </w:rPr>
        <w:t xml:space="preserve">CUI </w:t>
      </w:r>
      <w:r>
        <w:rPr>
          <w:rStyle w:val="Carpredefinitoparagrafo"/>
          <w:rFonts w:eastAsia="Swis721 Lt BT" w:cs="Calibri Light" w:ascii="Titillium Web" w:hAnsi="Titillium Web"/>
          <w:b/>
          <w:bCs/>
          <w:i w:val="false"/>
          <w:iCs w:val="false"/>
          <w:caps w:val="false"/>
          <w:smallCaps w:val="false"/>
          <w:strike w:val="false"/>
          <w:dstrike w:val="false"/>
          <w:color w:val="000000"/>
          <w:spacing w:val="-3"/>
          <w:kern w:val="2"/>
          <w:sz w:val="22"/>
          <w:szCs w:val="22"/>
          <w:u w:val="none"/>
          <w:lang w:val="it-IT" w:eastAsia="ar-SA" w:bidi="ar-SA"/>
        </w:rPr>
        <w:t>L01041340371202100015</w:t>
      </w:r>
      <w:r>
        <w:rPr>
          <w:rFonts w:eastAsia="SimSun;宋体" w:cs="Verdana" w:ascii="Titillium Web" w:hAnsi="Titillium Web"/>
          <w:b/>
          <w:bCs/>
          <w:color w:val="000000"/>
          <w:spacing w:val="-3"/>
          <w:sz w:val="22"/>
          <w:szCs w:val="22"/>
          <w:lang w:eastAsia="zh-CN" w:bidi="hi-IN"/>
        </w:rPr>
        <w:t>.</w:t>
      </w:r>
    </w:p>
    <w:p>
      <w:pPr>
        <w:pStyle w:val="Western"/>
        <w:spacing w:before="280" w:after="142"/>
        <w:rPr>
          <w:rFonts w:ascii="Titillium Web" w:hAnsi="Titillium Web"/>
          <w:sz w:val="22"/>
          <w:szCs w:val="22"/>
        </w:rPr>
      </w:pPr>
      <w:r>
        <w:rPr>
          <w:rFonts w:ascii="Titillium Web" w:hAnsi="Titillium Web"/>
          <w:sz w:val="22"/>
          <w:szCs w:val="22"/>
        </w:rPr>
      </w:r>
    </w:p>
    <w:p>
      <w:pPr>
        <w:pStyle w:val="LOnormal"/>
        <w:spacing w:before="0" w:after="120"/>
        <w:ind w:firstLine="709"/>
        <w:jc w:val="center"/>
        <w:rPr>
          <w:rFonts w:ascii="Titillium Web" w:hAnsi="Titillium Web"/>
          <w:b/>
          <w:b/>
          <w:sz w:val="22"/>
          <w:szCs w:val="22"/>
        </w:rPr>
      </w:pPr>
      <w:r>
        <w:rPr>
          <w:rFonts w:ascii="Titillium Web" w:hAnsi="Titillium Web"/>
          <w:b/>
          <w:sz w:val="22"/>
          <w:szCs w:val="22"/>
        </w:rPr>
        <w:t>AUTODICHIARAZIONE DEI PARTECIPANTI ALLA PROCEDURA DI GARA</w:t>
      </w:r>
    </w:p>
    <w:p>
      <w:pPr>
        <w:pStyle w:val="LOnormal"/>
        <w:spacing w:before="0" w:after="120"/>
        <w:ind w:firstLine="709"/>
        <w:jc w:val="center"/>
        <w:rPr>
          <w:rFonts w:ascii="Titillium Web" w:hAnsi="Titillium Web"/>
          <w:b/>
          <w:b/>
          <w:sz w:val="22"/>
          <w:szCs w:val="22"/>
        </w:rPr>
      </w:pPr>
      <w:r>
        <w:rPr>
          <w:rFonts w:ascii="Titillium Web" w:hAnsi="Titillium Web"/>
          <w:b/>
          <w:sz w:val="22"/>
          <w:szCs w:val="22"/>
        </w:rPr>
        <w:t xml:space="preserve">ULTERIORI PRINCIPI E CONDIZIONI </w:t>
      </w:r>
    </w:p>
    <w:p>
      <w:pPr>
        <w:pStyle w:val="LOnormal"/>
        <w:spacing w:before="0" w:after="120"/>
        <w:ind w:firstLine="709"/>
        <w:jc w:val="center"/>
        <w:rPr>
          <w:rFonts w:ascii="Titillium Web" w:hAnsi="Titillium Web"/>
          <w:sz w:val="22"/>
          <w:szCs w:val="22"/>
        </w:rPr>
      </w:pPr>
      <w:r>
        <w:rPr>
          <w:rFonts w:ascii="Titillium Web" w:hAnsi="Titillium Web"/>
          <w:b/>
          <w:sz w:val="22"/>
          <w:szCs w:val="22"/>
        </w:rPr>
        <w:t>NELL’AMBITO DEGLI INTERVENTI A VALERE SUL PNRR</w:t>
      </w:r>
    </w:p>
    <w:p>
      <w:pPr>
        <w:pStyle w:val="LOnormal"/>
        <w:jc w:val="both"/>
        <w:rPr>
          <w:rFonts w:ascii="Titillium Web" w:hAnsi="Titillium Web" w:eastAsia="Arial"/>
          <w:b/>
          <w:b/>
          <w:sz w:val="22"/>
          <w:szCs w:val="22"/>
        </w:rPr>
      </w:pPr>
      <w:r>
        <w:rPr>
          <w:rFonts w:eastAsia="Arial" w:ascii="Titillium Web" w:hAnsi="Titillium Web"/>
          <w:b/>
          <w:sz w:val="22"/>
          <w:szCs w:val="22"/>
        </w:rPr>
      </w:r>
    </w:p>
    <w:p>
      <w:pPr>
        <w:pStyle w:val="LOnormal"/>
        <w:spacing w:lineRule="auto" w:line="276" w:before="57" w:after="57"/>
        <w:jc w:val="both"/>
        <w:rPr>
          <w:rFonts w:ascii="Titillium Web" w:hAnsi="Titillium Web"/>
        </w:rPr>
      </w:pPr>
      <w:r>
        <w:rPr>
          <w:rFonts w:ascii="Titillium Web" w:hAnsi="Titillium Web"/>
          <w:sz w:val="22"/>
          <w:szCs w:val="22"/>
        </w:rPr>
        <w:t>Il sottoscritto ……………………………………………………..………………….…… nato a …………………..……………………… (……) il ………….……………. C.F. …………………………………………………. e residente in …………………..……………………… (……) via ………………..………..…………………… n. ……… indirizzo pec/mail ………………………………………………………….. professione …………………………… con riferimento alla procedura di affidamento in oggetto in qualità di:</w:t>
      </w:r>
    </w:p>
    <w:p>
      <w:pPr>
        <w:pStyle w:val="LOnormal"/>
        <w:jc w:val="center"/>
        <w:rPr>
          <w:rFonts w:ascii="Titillium Web" w:hAnsi="Titillium Web"/>
          <w:sz w:val="22"/>
          <w:szCs w:val="22"/>
        </w:rPr>
      </w:pPr>
      <w:r>
        <w:rPr>
          <w:rFonts w:ascii="Titillium Web" w:hAnsi="Titillium Web"/>
          <w:sz w:val="22"/>
          <w:szCs w:val="22"/>
        </w:rPr>
      </w:r>
      <w:bookmarkStart w:id="0" w:name="_heading=h.gjdgxs"/>
      <w:bookmarkStart w:id="1" w:name="_heading=h.gjdgxs"/>
      <w:bookmarkEnd w:id="1"/>
    </w:p>
    <w:p>
      <w:pPr>
        <w:pStyle w:val="LOnormal"/>
        <w:tabs>
          <w:tab w:val="clear" w:pos="720"/>
          <w:tab w:val="left" w:pos="993" w:leader="none"/>
        </w:tabs>
        <w:spacing w:lineRule="auto" w:line="276" w:before="57" w:after="57"/>
        <w:ind w:left="567" w:hanging="0"/>
        <w:jc w:val="both"/>
        <w:rPr>
          <w:rFonts w:ascii="Titillium Web" w:hAnsi="Titillium Web"/>
        </w:rPr>
      </w:pPr>
      <w:bookmarkStart w:id="2" w:name="_heading=h.30j0zll"/>
      <w:bookmarkEnd w:id="2"/>
      <w:r>
        <w:rPr>
          <w:rFonts w:cs="Segoe UI Symbol" w:ascii="Titillium Web" w:hAnsi="Titillium Web"/>
          <w:sz w:val="22"/>
          <w:szCs w:val="22"/>
        </w:rPr>
        <w:t>☐</w:t>
      </w:r>
      <w:r>
        <w:rPr>
          <w:rFonts w:ascii="Titillium Web" w:hAnsi="Titillium Web"/>
          <w:sz w:val="22"/>
          <w:szCs w:val="22"/>
        </w:rPr>
        <w:tab/>
        <w:t>legale rappresentante</w:t>
      </w:r>
    </w:p>
    <w:p>
      <w:pPr>
        <w:pStyle w:val="LOnormal"/>
        <w:tabs>
          <w:tab w:val="clear" w:pos="720"/>
          <w:tab w:val="left" w:pos="993" w:leader="none"/>
        </w:tabs>
        <w:spacing w:lineRule="auto" w:line="276" w:before="57" w:after="57"/>
        <w:ind w:left="567" w:hanging="0"/>
        <w:jc w:val="both"/>
        <w:rPr>
          <w:rFonts w:ascii="Titillium Web" w:hAnsi="Titillium Web"/>
        </w:rPr>
      </w:pPr>
      <w:bookmarkStart w:id="3" w:name="_heading=h.1fob9te"/>
      <w:bookmarkEnd w:id="3"/>
      <w:r>
        <w:rPr>
          <w:rFonts w:cs="Segoe UI Symbol" w:ascii="Titillium Web" w:hAnsi="Titillium Web"/>
          <w:sz w:val="22"/>
          <w:szCs w:val="22"/>
        </w:rPr>
        <w:t>☐</w:t>
      </w:r>
      <w:r>
        <w:rPr>
          <w:rFonts w:ascii="Titillium Web" w:hAnsi="Titillium Web"/>
          <w:sz w:val="22"/>
          <w:szCs w:val="22"/>
        </w:rPr>
        <w:tab/>
        <w:t>titolare</w:t>
      </w:r>
    </w:p>
    <w:p>
      <w:pPr>
        <w:pStyle w:val="LOnormal"/>
        <w:tabs>
          <w:tab w:val="clear" w:pos="720"/>
          <w:tab w:val="left" w:pos="993" w:leader="none"/>
        </w:tabs>
        <w:spacing w:lineRule="auto" w:line="276" w:before="57" w:after="57"/>
        <w:ind w:left="567" w:hanging="0"/>
        <w:jc w:val="both"/>
        <w:rPr>
          <w:rFonts w:ascii="Titillium Web" w:hAnsi="Titillium Web"/>
        </w:rPr>
      </w:pPr>
      <w:bookmarkStart w:id="4" w:name="_heading=h.3znysh7"/>
      <w:bookmarkEnd w:id="4"/>
      <w:r>
        <w:rPr>
          <w:rFonts w:cs="Segoe UI Symbol" w:ascii="Titillium Web" w:hAnsi="Titillium Web"/>
          <w:sz w:val="22"/>
          <w:szCs w:val="22"/>
        </w:rPr>
        <w:t>☐</w:t>
      </w:r>
      <w:r>
        <w:rPr>
          <w:rFonts w:ascii="Titillium Web" w:hAnsi="Titillium Web"/>
          <w:sz w:val="22"/>
          <w:szCs w:val="22"/>
        </w:rPr>
        <w:tab/>
        <w:t>procuratore: specificare ______________________________________________</w:t>
      </w:r>
    </w:p>
    <w:p>
      <w:pPr>
        <w:pStyle w:val="LOnormal"/>
        <w:tabs>
          <w:tab w:val="clear" w:pos="720"/>
          <w:tab w:val="left" w:pos="993" w:leader="none"/>
        </w:tabs>
        <w:spacing w:lineRule="auto" w:line="276" w:before="57" w:after="57"/>
        <w:ind w:left="567" w:hanging="0"/>
        <w:jc w:val="both"/>
        <w:rPr>
          <w:rFonts w:ascii="Titillium Web" w:hAnsi="Titillium Web"/>
          <w:sz w:val="22"/>
          <w:szCs w:val="22"/>
        </w:rPr>
      </w:pPr>
      <w:r>
        <w:rPr>
          <w:rFonts w:cs="Segoe UI Symbol" w:ascii="Titillium Web" w:hAnsi="Titillium Web"/>
          <w:sz w:val="22"/>
          <w:szCs w:val="22"/>
        </w:rPr>
        <w:t>☐</w:t>
      </w:r>
      <w:r>
        <w:rPr>
          <w:rFonts w:ascii="Titillium Web" w:hAnsi="Titillium Web"/>
          <w:sz w:val="22"/>
          <w:szCs w:val="22"/>
        </w:rPr>
        <w:tab/>
        <w:t>altro: specificare _________________________________________</w:t>
      </w:r>
    </w:p>
    <w:p>
      <w:pPr>
        <w:pStyle w:val="LOnormal"/>
        <w:spacing w:lineRule="auto" w:line="276" w:before="57" w:after="57"/>
        <w:jc w:val="both"/>
        <w:rPr>
          <w:rFonts w:ascii="Titillium Web" w:hAnsi="Titillium Web"/>
          <w:sz w:val="22"/>
          <w:szCs w:val="22"/>
        </w:rPr>
      </w:pPr>
      <w:r>
        <w:rPr>
          <w:rFonts w:ascii="Titillium Web" w:hAnsi="Titillium Web"/>
          <w:sz w:val="22"/>
          <w:szCs w:val="22"/>
        </w:rPr>
      </w:r>
    </w:p>
    <w:p>
      <w:pPr>
        <w:pStyle w:val="Western"/>
        <w:spacing w:before="280" w:after="142"/>
        <w:jc w:val="both"/>
        <w:rPr>
          <w:sz w:val="20"/>
          <w:szCs w:val="20"/>
        </w:rPr>
      </w:pPr>
      <w:r>
        <w:rPr>
          <w:rFonts w:ascii="Titillium Web" w:hAnsi="Titillium Web"/>
          <w:sz w:val="22"/>
          <w:szCs w:val="22"/>
        </w:rPr>
        <w:t>della società ………………………………………………………………………………………… con Partita I.V.A. ……………………………………………………. Codice Fiscale ……………………………………………………. con sede legale in …………………..……………………… (……) via ………………..………..…………………… n. ……… C.A.P. ………….… Tel. ………………………….. Fax ………………………….. P.E.C. …………………………………………..………………..  partecipante alla procedura in oggetto del Soggetto Realizzatore a valere sul Piano Nazionale di Ripresa e Resilienza, Missione 4 componente 1 investimento sub investimento 1.1 “</w:t>
      </w:r>
      <w:r>
        <w:rPr>
          <w:rFonts w:ascii="Titillium Web" w:hAnsi="Titillium Web"/>
          <w:b/>
          <w:bCs/>
          <w:sz w:val="20"/>
          <w:szCs w:val="20"/>
        </w:rPr>
        <w:t xml:space="preserve">PIANO PER ASILI NIDO E SCUOLEDELL’INFANZIA E SERVIZI DI EDUCAZIONE E CURA PER LA PRIMA INFANZIA”, </w:t>
      </w:r>
      <w:r>
        <w:rPr>
          <w:rFonts w:ascii="Titillium Web" w:hAnsi="Titillium Web"/>
          <w:sz w:val="22"/>
          <w:szCs w:val="22"/>
        </w:rPr>
        <w:t xml:space="preserve">vista la normativa relativa alle situazioni, anche potenziali, di conflitto di interessi, ai sensi degli articoli 46 e 47 del D.P.R. 2 dicembre 2000, n. 445, consapevole della responsabilità penale in cui incorre chi sottoscrive dichiarazioni mendaci o forma, esibisce, si avvale di atti falsi ovvero non più </w:t>
      </w:r>
    </w:p>
    <w:p>
      <w:pPr>
        <w:pStyle w:val="LOnormal"/>
        <w:spacing w:lineRule="auto" w:line="276" w:before="57" w:after="57"/>
        <w:jc w:val="both"/>
        <w:rPr>
          <w:rFonts w:ascii="Titillium Web" w:hAnsi="Titillium Web"/>
          <w:sz w:val="22"/>
          <w:szCs w:val="22"/>
        </w:rPr>
      </w:pPr>
      <w:r>
        <w:rPr>
          <w:rFonts w:ascii="Titillium Web" w:hAnsi="Titillium Web"/>
          <w:sz w:val="22"/>
          <w:szCs w:val="22"/>
        </w:rPr>
      </w:r>
    </w:p>
    <w:p>
      <w:pPr>
        <w:pStyle w:val="LOnormal"/>
        <w:spacing w:lineRule="auto" w:line="276" w:before="57" w:after="57"/>
        <w:jc w:val="both"/>
        <w:rPr>
          <w:rFonts w:ascii="Titillium Web" w:hAnsi="Titillium Web"/>
          <w:sz w:val="22"/>
          <w:szCs w:val="22"/>
        </w:rPr>
      </w:pPr>
      <w:r>
        <w:rPr>
          <w:rFonts w:ascii="Titillium Web" w:hAnsi="Titillium Web"/>
          <w:sz w:val="22"/>
          <w:szCs w:val="22"/>
        </w:rPr>
        <w:t>rispondenti a verità e delle relative sanzioni penali di cui all’art. 76 del D.P.R. 445/2000, nonché delle conseguenze amministrative e di decadenza dei benefici eventualmente conseguenti al provvedimento emanato</w:t>
      </w:r>
    </w:p>
    <w:p>
      <w:pPr>
        <w:pStyle w:val="LOnormal"/>
        <w:spacing w:lineRule="auto" w:line="360"/>
        <w:jc w:val="center"/>
        <w:rPr>
          <w:rFonts w:ascii="Titillium Web" w:hAnsi="Titillium Web"/>
          <w:sz w:val="22"/>
          <w:szCs w:val="22"/>
        </w:rPr>
      </w:pPr>
      <w:r>
        <w:rPr>
          <w:rFonts w:ascii="Titillium Web" w:hAnsi="Titillium Web"/>
          <w:b/>
          <w:sz w:val="22"/>
          <w:szCs w:val="22"/>
        </w:rPr>
        <w:t>DICHIARA</w:t>
      </w:r>
    </w:p>
    <w:p>
      <w:pPr>
        <w:pStyle w:val="Normal"/>
        <w:numPr>
          <w:ilvl w:val="0"/>
          <w:numId w:val="2"/>
        </w:numPr>
        <w:spacing w:lineRule="auto" w:line="276" w:before="57" w:after="57"/>
        <w:jc w:val="both"/>
        <w:rPr>
          <w:rFonts w:ascii="Titillium Web" w:hAnsi="Titillium Web" w:cs="Calibri"/>
          <w:color w:val="000000"/>
          <w:sz w:val="22"/>
          <w:szCs w:val="22"/>
        </w:rPr>
      </w:pPr>
      <w:r>
        <w:rPr>
          <w:rFonts w:cs="Calibri" w:ascii="Titillium Web" w:hAnsi="Titillium Web"/>
          <w:color w:val="000000"/>
          <w:sz w:val="22"/>
          <w:szCs w:val="22"/>
        </w:rPr>
        <w:t>che la realizzazione delle attività affidate prevederà il rispetto delle norme comunitarie e nazionali applicabili, ivi incluse quelle in materia di trasparenza, uguaglianza di genere e pari opportunità e tutela dei diversamente abili;</w:t>
      </w:r>
    </w:p>
    <w:p>
      <w:pPr>
        <w:pStyle w:val="Normal"/>
        <w:numPr>
          <w:ilvl w:val="0"/>
          <w:numId w:val="2"/>
        </w:numPr>
        <w:spacing w:lineRule="auto" w:line="276" w:before="57" w:after="57"/>
        <w:jc w:val="both"/>
        <w:rPr>
          <w:rFonts w:ascii="Titillium Web" w:hAnsi="Titillium Web" w:cs="Calibri"/>
          <w:color w:val="000000"/>
          <w:sz w:val="22"/>
          <w:szCs w:val="22"/>
        </w:rPr>
      </w:pPr>
      <w:r>
        <w:rPr>
          <w:rFonts w:cs="Calibri" w:ascii="Titillium Web" w:hAnsi="Titillium Web"/>
          <w:color w:val="000000"/>
          <w:sz w:val="22"/>
          <w:szCs w:val="22"/>
        </w:rPr>
        <w:t>che adotterà misure adeguate volte a rispettare il principio di sana gestione finanziaria secondo quanto disciplinato nel Regolamento finanziario (UE, Euratom) 2018/1046 e nell’articolo 22 del Regolamento (UE) 2021/241, in particolare in materia di prevenzione dei conflitti di interessi, delle frodi, della corruzione;</w:t>
      </w:r>
    </w:p>
    <w:p>
      <w:pPr>
        <w:pStyle w:val="Normal"/>
        <w:numPr>
          <w:ilvl w:val="0"/>
          <w:numId w:val="2"/>
        </w:numPr>
        <w:spacing w:lineRule="auto" w:line="276" w:before="57" w:after="57"/>
        <w:jc w:val="both"/>
        <w:rPr>
          <w:rFonts w:ascii="Titillium Web" w:hAnsi="Titillium Web" w:cs="Calibri"/>
          <w:color w:val="000000"/>
          <w:sz w:val="22"/>
          <w:szCs w:val="22"/>
        </w:rPr>
      </w:pPr>
      <w:r>
        <w:rPr>
          <w:rFonts w:cs="Calibri" w:ascii="Titillium Web" w:hAnsi="Titillium Web"/>
          <w:color w:val="000000"/>
          <w:sz w:val="22"/>
          <w:szCs w:val="22"/>
        </w:rPr>
        <w:t>di disporre delle competenze, risorse e qualifiche professionali, sia tecniche che amministrative, necessarie per portare a termine il progetto e assicurare il raggiungimento di eventuali Milestone e Target associati;</w:t>
      </w:r>
    </w:p>
    <w:p>
      <w:pPr>
        <w:pStyle w:val="Normal"/>
        <w:numPr>
          <w:ilvl w:val="0"/>
          <w:numId w:val="2"/>
        </w:numPr>
        <w:spacing w:lineRule="auto" w:line="276" w:before="57" w:after="57"/>
        <w:jc w:val="both"/>
        <w:rPr>
          <w:rFonts w:ascii="Titillium Web" w:hAnsi="Titillium Web" w:cs="Calibri"/>
          <w:color w:val="000000"/>
          <w:sz w:val="22"/>
          <w:szCs w:val="22"/>
        </w:rPr>
      </w:pPr>
      <w:r>
        <w:rPr>
          <w:rFonts w:cs="Calibri" w:ascii="Titillium Web" w:hAnsi="Titillium Web"/>
          <w:color w:val="000000"/>
          <w:sz w:val="22"/>
          <w:szCs w:val="22"/>
        </w:rPr>
        <w:t>di essere a conoscenza che l’Amministrazione responsabile di intervento si riserva il diritto di procedere d’ufficio a verifiche, anche a campione, ai sensi e per gli effetti della normativa vigente;</w:t>
      </w:r>
    </w:p>
    <w:p>
      <w:pPr>
        <w:pStyle w:val="Normal"/>
        <w:numPr>
          <w:ilvl w:val="0"/>
          <w:numId w:val="3"/>
        </w:numPr>
        <w:jc w:val="both"/>
        <w:rPr>
          <w:rFonts w:ascii="Titillium Web" w:hAnsi="Titillium Web" w:cs="Calibri"/>
          <w:color w:val="000000"/>
          <w:sz w:val="22"/>
          <w:szCs w:val="22"/>
        </w:rPr>
      </w:pPr>
      <w:r>
        <w:rPr>
          <w:rFonts w:cs="Calibri" w:ascii="Titillium Web" w:hAnsi="Titillium Web"/>
          <w:color w:val="000000"/>
          <w:sz w:val="22"/>
          <w:szCs w:val="22"/>
        </w:rPr>
        <w:t xml:space="preserve">di accettare tutte le condizioni previste dalla documentazione di gara inerenti alla presente misura; e, qualora risultasse aggiudicatario della procedura di affidamento, </w:t>
      </w:r>
    </w:p>
    <w:p>
      <w:pPr>
        <w:pStyle w:val="Normal"/>
        <w:jc w:val="both"/>
        <w:rPr>
          <w:rFonts w:ascii="Titillium Web" w:hAnsi="Titillium Web" w:cs="Calibri"/>
          <w:b/>
          <w:b/>
          <w:bCs/>
          <w:color w:val="000000"/>
          <w:sz w:val="22"/>
          <w:szCs w:val="22"/>
          <w:highlight w:val="red"/>
        </w:rPr>
      </w:pPr>
      <w:r>
        <w:rPr>
          <w:rFonts w:cs="Calibri" w:ascii="Titillium Web" w:hAnsi="Titillium Web"/>
          <w:b/>
          <w:bCs/>
          <w:color w:val="000000"/>
          <w:sz w:val="22"/>
          <w:szCs w:val="22"/>
          <w:highlight w:val="red"/>
        </w:rPr>
      </w:r>
    </w:p>
    <w:p>
      <w:pPr>
        <w:pStyle w:val="Normal"/>
        <w:jc w:val="center"/>
        <w:rPr>
          <w:rFonts w:ascii="Titillium Web" w:hAnsi="Titillium Web" w:cs="Calibri"/>
          <w:b/>
          <w:b/>
          <w:bCs/>
          <w:color w:val="000000"/>
          <w:sz w:val="22"/>
          <w:szCs w:val="22"/>
          <w:lang w:eastAsia="zh-CN" w:bidi="hi-IN"/>
        </w:rPr>
      </w:pPr>
      <w:r>
        <w:rPr>
          <w:rFonts w:cs="Calibri" w:ascii="Titillium Web" w:hAnsi="Titillium Web"/>
          <w:b/>
          <w:bCs/>
          <w:color w:val="000000"/>
          <w:sz w:val="22"/>
          <w:szCs w:val="22"/>
          <w:lang w:eastAsia="zh-CN" w:bidi="hi-IN"/>
        </w:rPr>
        <w:t>SI IMPEGNA</w:t>
      </w:r>
    </w:p>
    <w:p>
      <w:pPr>
        <w:pStyle w:val="Normal"/>
        <w:jc w:val="center"/>
        <w:rPr>
          <w:rFonts w:ascii="Titillium Web" w:hAnsi="Titillium Web" w:cs="Calibri"/>
          <w:b/>
          <w:b/>
          <w:bCs/>
          <w:color w:val="000000"/>
          <w:sz w:val="22"/>
          <w:szCs w:val="22"/>
          <w:highlight w:val="red"/>
        </w:rPr>
      </w:pPr>
      <w:r>
        <w:rPr>
          <w:rFonts w:cs="Calibri" w:ascii="Titillium Web" w:hAnsi="Titillium Web"/>
          <w:b/>
          <w:bCs/>
          <w:color w:val="000000"/>
          <w:sz w:val="22"/>
          <w:szCs w:val="22"/>
          <w:highlight w:val="red"/>
        </w:rPr>
      </w:r>
    </w:p>
    <w:p>
      <w:pPr>
        <w:pStyle w:val="Normal"/>
        <w:numPr>
          <w:ilvl w:val="0"/>
          <w:numId w:val="4"/>
        </w:numPr>
        <w:spacing w:lineRule="auto" w:line="276"/>
        <w:jc w:val="both"/>
        <w:rPr>
          <w:rFonts w:ascii="Titillium Web" w:hAnsi="Titillium Web" w:cs="Calibri"/>
          <w:sz w:val="22"/>
          <w:szCs w:val="22"/>
        </w:rPr>
      </w:pPr>
      <w:r>
        <w:rPr>
          <w:rFonts w:cs="Calibri" w:ascii="Titillium Web" w:hAnsi="Titillium Web"/>
          <w:sz w:val="22"/>
          <w:szCs w:val="22"/>
        </w:rPr>
        <w:t>ad avviare tempestivamente le attività necessarie per non incorrere in ritardi attuativi e concluderle nella forma, nei modi e nei tempi previsti al fine di rispettare il cronoprogramma di Progetto, cosi come indicato nell’accordo di concessione del finanziamento;</w:t>
      </w:r>
    </w:p>
    <w:p>
      <w:pPr>
        <w:pStyle w:val="Normal"/>
        <w:numPr>
          <w:ilvl w:val="0"/>
          <w:numId w:val="4"/>
        </w:numPr>
        <w:spacing w:lineRule="auto" w:line="276"/>
        <w:jc w:val="both"/>
        <w:rPr>
          <w:rFonts w:ascii="Titillium Web" w:hAnsi="Titillium Web" w:cs="Calibri"/>
          <w:sz w:val="22"/>
          <w:szCs w:val="22"/>
        </w:rPr>
      </w:pPr>
      <w:r>
        <w:rPr>
          <w:rFonts w:cs="Calibri" w:ascii="Titillium Web" w:hAnsi="Titillium Web"/>
          <w:sz w:val="22"/>
          <w:szCs w:val="22"/>
        </w:rPr>
        <w:t xml:space="preserve">a garantire: </w:t>
      </w:r>
    </w:p>
    <w:p>
      <w:pPr>
        <w:pStyle w:val="Normal"/>
        <w:numPr>
          <w:ilvl w:val="1"/>
          <w:numId w:val="5"/>
        </w:numPr>
        <w:spacing w:lineRule="auto" w:line="276"/>
        <w:jc w:val="both"/>
        <w:rPr>
          <w:rFonts w:ascii="Titillium Web" w:hAnsi="Titillium Web" w:cs="Calibri"/>
          <w:sz w:val="22"/>
          <w:szCs w:val="22"/>
        </w:rPr>
      </w:pPr>
      <w:r>
        <w:rPr>
          <w:rFonts w:cs="Calibri" w:ascii="Titillium Web" w:hAnsi="Titillium Web"/>
          <w:sz w:val="22"/>
          <w:szCs w:val="22"/>
        </w:rPr>
        <w:t xml:space="preserve">il raggiungimento di eventuali Milestones e Target associati, incluso il contributo programmato al Target della misura; </w:t>
      </w:r>
    </w:p>
    <w:p>
      <w:pPr>
        <w:pStyle w:val="Normal"/>
        <w:numPr>
          <w:ilvl w:val="1"/>
          <w:numId w:val="5"/>
        </w:numPr>
        <w:spacing w:lineRule="auto" w:line="276"/>
        <w:jc w:val="both"/>
        <w:rPr>
          <w:rFonts w:ascii="Titillium Web" w:hAnsi="Titillium Web" w:cs="Calibri"/>
          <w:sz w:val="22"/>
          <w:szCs w:val="22"/>
        </w:rPr>
      </w:pPr>
      <w:r>
        <w:rPr>
          <w:rFonts w:cs="Calibri" w:ascii="Titillium Web" w:hAnsi="Titillium Web"/>
          <w:sz w:val="22"/>
          <w:szCs w:val="22"/>
        </w:rPr>
        <w:t>a garantire il rispetto degli obiettivi ambientali, tra cui il principio di non arrecare un danno significativo (DNSH, “Do no significant harm”),</w:t>
      </w:r>
    </w:p>
    <w:p>
      <w:pPr>
        <w:pStyle w:val="Normal"/>
        <w:numPr>
          <w:ilvl w:val="1"/>
          <w:numId w:val="5"/>
        </w:numPr>
        <w:spacing w:lineRule="auto" w:line="276"/>
        <w:jc w:val="both"/>
        <w:rPr>
          <w:rFonts w:ascii="Titillium Web" w:hAnsi="Titillium Web" w:cs="Calibri"/>
          <w:sz w:val="22"/>
          <w:szCs w:val="22"/>
        </w:rPr>
      </w:pPr>
      <w:r>
        <w:rPr>
          <w:rFonts w:cs="Calibri" w:ascii="Titillium Web" w:hAnsi="Titillium Web"/>
          <w:sz w:val="22"/>
          <w:szCs w:val="22"/>
        </w:rPr>
        <w:t>il rispetto dei principi trasversali previsti dal PNRR, quali, tra l’altro, il principio del contributo all’obiettivo climatico e digitale (c.d. tagging), il principio delle pari opportunità di genere e l’obbligo di protezione e valorizzazione dei giovani nonché l’inclusione lavorativa di persone con disabilità.</w:t>
      </w:r>
    </w:p>
    <w:p>
      <w:pPr>
        <w:pStyle w:val="Normal"/>
        <w:numPr>
          <w:ilvl w:val="0"/>
          <w:numId w:val="4"/>
        </w:numPr>
        <w:spacing w:lineRule="auto" w:line="276"/>
        <w:jc w:val="both"/>
        <w:rPr>
          <w:rFonts w:ascii="Titillium Web" w:hAnsi="Titillium Web" w:cs="Calibri"/>
          <w:color w:val="000000"/>
          <w:sz w:val="22"/>
          <w:szCs w:val="22"/>
        </w:rPr>
      </w:pPr>
      <w:r>
        <w:rPr>
          <w:rFonts w:cs="Calibri" w:ascii="Titillium Web" w:hAnsi="Titillium Web"/>
          <w:color w:val="000000"/>
          <w:sz w:val="22"/>
          <w:szCs w:val="22"/>
        </w:rPr>
        <w:t>ad assicurare la tracciabilità nell’utilizzo delle risorse del PNRR e a presentare la rendicontazione delle spese effettivamente sostenute nei tempi e nei modi previsti dalla documentazione di gara;</w:t>
      </w:r>
    </w:p>
    <w:p>
      <w:pPr>
        <w:pStyle w:val="Normal"/>
        <w:numPr>
          <w:ilvl w:val="0"/>
          <w:numId w:val="4"/>
        </w:numPr>
        <w:spacing w:lineRule="auto" w:line="276"/>
        <w:jc w:val="both"/>
        <w:rPr>
          <w:rFonts w:ascii="Titillium Web" w:hAnsi="Titillium Web" w:cs="Calibri"/>
          <w:color w:val="000000"/>
          <w:sz w:val="22"/>
          <w:szCs w:val="22"/>
        </w:rPr>
      </w:pPr>
      <w:r>
        <w:rPr>
          <w:rFonts w:cs="Calibri" w:ascii="Titillium Web" w:hAnsi="Titillium Web"/>
          <w:color w:val="000000"/>
          <w:sz w:val="22"/>
          <w:szCs w:val="22"/>
        </w:rPr>
        <w:t>a rispettare gli obblighi in materia di comunicazione e informazione previsti dall’articolo 34 del Regolamento (UE) 2021/241, indicando in tutta la documentazione amministrativa e tecnica che il progetto e finanziato nell’ambito del PNRR, con una esplicita dichiarazione di finanziamento che reciti “Finanziato dall’Unione europea – Next Generation EU” e valorizzando l’emblema dell’Unione europea;</w:t>
      </w:r>
    </w:p>
    <w:p>
      <w:pPr>
        <w:pStyle w:val="Normal"/>
        <w:numPr>
          <w:ilvl w:val="0"/>
          <w:numId w:val="4"/>
        </w:numPr>
        <w:spacing w:lineRule="auto" w:line="276"/>
        <w:jc w:val="both"/>
        <w:rPr>
          <w:rFonts w:ascii="Titillium Web" w:hAnsi="Titillium Web"/>
          <w:sz w:val="22"/>
          <w:szCs w:val="22"/>
        </w:rPr>
      </w:pPr>
      <w:r>
        <w:rPr>
          <w:rFonts w:cs="Calibri" w:ascii="Titillium Web" w:hAnsi="Titillium Web"/>
          <w:color w:val="000000"/>
          <w:sz w:val="22"/>
          <w:szCs w:val="22"/>
        </w:rPr>
        <w:t>a rispettare tutte le indicazioni che saranno fornite dal Comune di Valsamoggia in merito all’attuazione degli interventi anche successive alla pubblicazione della gara;</w:t>
      </w:r>
    </w:p>
    <w:p>
      <w:pPr>
        <w:pStyle w:val="Normal"/>
        <w:numPr>
          <w:ilvl w:val="0"/>
          <w:numId w:val="4"/>
        </w:numPr>
        <w:spacing w:lineRule="auto" w:line="276"/>
        <w:jc w:val="both"/>
        <w:rPr>
          <w:rFonts w:ascii="Titillium Web" w:hAnsi="Titillium Web" w:cs="Calibri"/>
          <w:color w:val="000000"/>
          <w:sz w:val="22"/>
          <w:szCs w:val="22"/>
        </w:rPr>
      </w:pPr>
      <w:r>
        <w:rPr>
          <w:rFonts w:cs="Calibri" w:ascii="Titillium Web" w:hAnsi="Titillium Web"/>
          <w:color w:val="000000"/>
          <w:sz w:val="22"/>
          <w:szCs w:val="22"/>
        </w:rPr>
        <w:t>ad assicurare la conservazione della documentazione progettuale in fascicoli cartacei o informatici ai fini della completa tracciabilità delle operazioni.</w:t>
      </w:r>
    </w:p>
    <w:p>
      <w:pPr>
        <w:pStyle w:val="LOnormal"/>
        <w:spacing w:lineRule="auto" w:line="360"/>
        <w:ind w:left="1080" w:hanging="0"/>
        <w:jc w:val="both"/>
        <w:rPr>
          <w:rFonts w:ascii="Titillium Web" w:hAnsi="Titillium Web"/>
          <w:sz w:val="22"/>
          <w:szCs w:val="22"/>
        </w:rPr>
      </w:pPr>
      <w:r>
        <w:rPr>
          <w:rFonts w:ascii="Titillium Web" w:hAnsi="Titillium Web"/>
          <w:sz w:val="22"/>
          <w:szCs w:val="22"/>
        </w:rPr>
      </w:r>
    </w:p>
    <w:p>
      <w:pPr>
        <w:pStyle w:val="LOnormal"/>
        <w:ind w:left="360" w:hanging="0"/>
        <w:jc w:val="both"/>
        <w:rPr>
          <w:rFonts w:ascii="Titillium Web" w:hAnsi="Titillium Web"/>
          <w:sz w:val="22"/>
          <w:szCs w:val="22"/>
        </w:rPr>
      </w:pPr>
      <w:r>
        <w:rPr>
          <w:rFonts w:ascii="Titillium Web" w:hAnsi="Titillium Web"/>
          <w:b/>
          <w:sz w:val="22"/>
          <w:szCs w:val="22"/>
        </w:rPr>
        <w:t xml:space="preserve">Luogo e data </w:t>
      </w:r>
      <w:r>
        <w:rPr>
          <w:rFonts w:ascii="Titillium Web" w:hAnsi="Titillium Web"/>
          <w:sz w:val="22"/>
          <w:szCs w:val="22"/>
        </w:rPr>
        <w:tab/>
        <w:tab/>
      </w:r>
    </w:p>
    <w:p>
      <w:pPr>
        <w:pStyle w:val="LOnormal"/>
        <w:ind w:left="360" w:hanging="0"/>
        <w:jc w:val="right"/>
        <w:rPr>
          <w:rFonts w:ascii="Titillium Web" w:hAnsi="Titillium Web"/>
          <w:sz w:val="22"/>
          <w:szCs w:val="22"/>
        </w:rPr>
      </w:pPr>
      <w:r>
        <w:rPr>
          <w:rFonts w:ascii="Titillium Web" w:hAnsi="Titillium Web"/>
          <w:b/>
          <w:sz w:val="22"/>
          <w:szCs w:val="22"/>
        </w:rPr>
        <w:t xml:space="preserve">Firma </w:t>
      </w:r>
    </w:p>
    <w:p>
      <w:pPr>
        <w:pStyle w:val="LOnormal"/>
        <w:ind w:left="360" w:hanging="0"/>
        <w:jc w:val="right"/>
        <w:rPr>
          <w:rFonts w:ascii="Titillium Web" w:hAnsi="Titillium Web"/>
          <w:b/>
          <w:b/>
          <w:sz w:val="22"/>
          <w:szCs w:val="22"/>
        </w:rPr>
      </w:pPr>
      <w:r>
        <w:rPr>
          <w:rFonts w:ascii="Titillium Web" w:hAnsi="Titillium Web"/>
          <w:b/>
          <w:sz w:val="22"/>
          <w:szCs w:val="22"/>
        </w:rPr>
      </w:r>
    </w:p>
    <w:p>
      <w:pPr>
        <w:pStyle w:val="LOnormal"/>
        <w:ind w:left="360" w:hanging="0"/>
        <w:jc w:val="right"/>
        <w:rPr>
          <w:rFonts w:ascii="Titillium Web" w:hAnsi="Titillium Web"/>
          <w:sz w:val="22"/>
          <w:szCs w:val="22"/>
        </w:rPr>
      </w:pPr>
      <w:r>
        <w:rPr>
          <w:rFonts w:ascii="Titillium Web" w:hAnsi="Titillium Web"/>
          <w:b/>
          <w:sz w:val="22"/>
          <w:szCs w:val="22"/>
        </w:rPr>
        <w:tab/>
        <w:tab/>
        <w:tab/>
        <w:tab/>
        <w:tab/>
        <w:tab/>
        <w:tab/>
        <w:tab/>
        <w:t>………………………………</w:t>
      </w:r>
    </w:p>
    <w:p>
      <w:pPr>
        <w:pStyle w:val="LOnormal"/>
        <w:ind w:left="360" w:hanging="0"/>
        <w:rPr>
          <w:rFonts w:ascii="Titillium Web" w:hAnsi="Titillium Web"/>
          <w:b/>
          <w:b/>
          <w:sz w:val="22"/>
          <w:szCs w:val="22"/>
        </w:rPr>
      </w:pPr>
      <w:r>
        <w:rPr>
          <w:rFonts w:ascii="Titillium Web" w:hAnsi="Titillium Web"/>
          <w:b/>
          <w:sz w:val="22"/>
          <w:szCs w:val="22"/>
        </w:rPr>
      </w:r>
    </w:p>
    <w:p>
      <w:pPr>
        <w:pStyle w:val="LOnormal"/>
        <w:spacing w:lineRule="auto" w:line="276" w:before="57" w:after="57"/>
        <w:jc w:val="center"/>
        <w:rPr>
          <w:rFonts w:ascii="Titillium Web" w:hAnsi="Titillium Web"/>
          <w:sz w:val="22"/>
          <w:szCs w:val="22"/>
        </w:rPr>
      </w:pPr>
      <w:r>
        <w:rPr>
          <w:rFonts w:ascii="Titillium Web" w:hAnsi="Titillium Web"/>
          <w:b/>
          <w:sz w:val="22"/>
          <w:szCs w:val="22"/>
        </w:rPr>
        <w:t>a tal fine allega:</w:t>
      </w:r>
    </w:p>
    <w:p>
      <w:pPr>
        <w:pStyle w:val="LOnormal"/>
        <w:spacing w:lineRule="auto" w:line="276" w:before="57" w:after="57"/>
        <w:jc w:val="center"/>
        <w:rPr>
          <w:rFonts w:ascii="Titillium Web" w:hAnsi="Titillium Web"/>
          <w:sz w:val="22"/>
          <w:szCs w:val="22"/>
        </w:rPr>
      </w:pPr>
      <w:r>
        <w:rPr>
          <w:rFonts w:ascii="Titillium Web" w:hAnsi="Titillium Web"/>
          <w:sz w:val="22"/>
          <w:szCs w:val="22"/>
        </w:rPr>
      </w:r>
    </w:p>
    <w:p>
      <w:pPr>
        <w:pStyle w:val="LOnormal"/>
        <w:numPr>
          <w:ilvl w:val="1"/>
          <w:numId w:val="1"/>
        </w:numPr>
        <w:tabs>
          <w:tab w:val="clear" w:pos="720"/>
          <w:tab w:val="left" w:pos="0" w:leader="none"/>
        </w:tabs>
        <w:spacing w:lineRule="auto" w:line="276" w:before="57" w:after="57"/>
        <w:ind w:left="709" w:hanging="360"/>
        <w:jc w:val="both"/>
        <w:rPr>
          <w:rFonts w:ascii="Titillium Web" w:hAnsi="Titillium Web" w:eastAsia="Calibri" w:cs="Calibri"/>
          <w:sz w:val="22"/>
          <w:szCs w:val="22"/>
        </w:rPr>
      </w:pPr>
      <w:r>
        <w:rPr>
          <w:rFonts w:ascii="Titillium Web" w:hAnsi="Titillium Web"/>
          <w:sz w:val="22"/>
          <w:szCs w:val="22"/>
        </w:rPr>
        <w:t>copia fotostatica di un documento d’identità del sottoscrittore/dei sottoscrittori (nel caso di sottoscrizione con firma olografa);</w:t>
      </w:r>
    </w:p>
    <w:p>
      <w:pPr>
        <w:pStyle w:val="LOnormal"/>
        <w:numPr>
          <w:ilvl w:val="1"/>
          <w:numId w:val="1"/>
        </w:numPr>
        <w:tabs>
          <w:tab w:val="clear" w:pos="720"/>
          <w:tab w:val="left" w:pos="0" w:leader="none"/>
        </w:tabs>
        <w:spacing w:lineRule="auto" w:line="276" w:before="57" w:after="57"/>
        <w:ind w:left="709" w:hanging="360"/>
        <w:jc w:val="both"/>
        <w:rPr>
          <w:rFonts w:ascii="Titillium Web" w:hAnsi="Titillium Web" w:eastAsia="Calibri" w:cs="Calibri"/>
          <w:sz w:val="22"/>
          <w:szCs w:val="22"/>
        </w:rPr>
      </w:pPr>
      <w:r>
        <w:rPr>
          <w:rFonts w:ascii="Titillium Web" w:hAnsi="Titillium Web"/>
          <w:sz w:val="22"/>
          <w:szCs w:val="22"/>
        </w:rPr>
        <w:t xml:space="preserve">(in caso di procuratori firmatari) copia conforme all’originale della procura oppure </w:t>
      </w:r>
      <w:r>
        <w:rPr>
          <w:rFonts w:ascii="Titillium Web" w:hAnsi="Titillium Web"/>
          <w:sz w:val="22"/>
          <w:szCs w:val="22"/>
          <w:u w:val="single"/>
        </w:rPr>
        <w:t>nel solo caso</w:t>
      </w:r>
      <w:r>
        <w:rPr>
          <w:rFonts w:ascii="Titillium Web" w:hAnsi="Titillium Web"/>
          <w:sz w:val="22"/>
          <w:szCs w:val="22"/>
        </w:rPr>
        <w:t xml:space="preserve"> in cui dalla visura camerale del concorrente risulti l’indicazione espressa dei poteri</w:t>
      </w:r>
      <w:r>
        <w:rPr>
          <w:rFonts w:eastAsia="Verdana" w:cs="Verdana" w:ascii="Titillium Web" w:hAnsi="Titillium Web"/>
          <w:sz w:val="22"/>
          <w:szCs w:val="22"/>
        </w:rPr>
        <w:t xml:space="preserve"> </w:t>
      </w:r>
      <w:r>
        <w:rPr>
          <w:rFonts w:ascii="Titillium Web" w:hAnsi="Titillium Web"/>
          <w:sz w:val="22"/>
          <w:szCs w:val="22"/>
        </w:rPr>
        <w:t>rappresentativi conferiti con la procura, la dichiarazione sostitutiva resa dal procuratore attestante la sussistenza dei poteri rappresentativi risultanti dalla visura.</w:t>
      </w:r>
    </w:p>
    <w:p>
      <w:pPr>
        <w:pStyle w:val="LOnormal"/>
        <w:spacing w:lineRule="auto" w:line="276" w:before="57" w:after="57"/>
        <w:jc w:val="both"/>
        <w:rPr>
          <w:rFonts w:ascii="Titillium Web" w:hAnsi="Titillium Web" w:eastAsia="Calibri" w:cs="Calibri"/>
          <w:sz w:val="22"/>
          <w:szCs w:val="22"/>
        </w:rPr>
      </w:pPr>
      <w:r>
        <w:rPr/>
      </w:r>
    </w:p>
    <w:sectPr>
      <w:headerReference w:type="default" r:id="rId2"/>
      <w:type w:val="nextPage"/>
      <w:pgSz w:w="11906" w:h="16838"/>
      <w:pgMar w:left="1134" w:right="1134" w:header="720" w:top="1735" w:footer="0" w:bottom="1134" w:gutter="0"/>
      <w:pgNumType w:start="1"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ymbol">
    <w:charset w:val="00"/>
    <w:family w:val="roman"/>
    <w:pitch w:val="variable"/>
  </w:font>
  <w:font w:name="Courier New">
    <w:charset w:val="00"/>
    <w:family w:val="roman"/>
    <w:pitch w:val="variable"/>
  </w:font>
  <w:font w:name="Wingdings">
    <w:charset w:val="00"/>
    <w:family w:val="roman"/>
    <w:pitch w:val="variable"/>
  </w:font>
  <w:font w:name="Arial">
    <w:charset w:val="00"/>
    <w:family w:val="roman"/>
    <w:pitch w:val="variable"/>
  </w:font>
  <w:font w:name="OpenSymbol">
    <w:altName w:val="Arial Unicode MS"/>
    <w:charset w:val="00"/>
    <w:family w:val="roman"/>
    <w:pitch w:val="variable"/>
  </w:font>
  <w:font w:name="Tahoma">
    <w:charset w:val="00"/>
    <w:family w:val="roman"/>
    <w:pitch w:val="variable"/>
  </w:font>
  <w:font w:name="Liberation Sans">
    <w:altName w:val="Arial"/>
    <w:charset w:val="00"/>
    <w:family w:val="swiss"/>
    <w:pitch w:val="variable"/>
  </w:font>
  <w:font w:name="Liberation Sans">
    <w:altName w:val="Arial"/>
    <w:charset w:val="00"/>
    <w:family w:val="roman"/>
    <w:pitch w:val="variable"/>
  </w:font>
  <w:font w:name="Liberation Mono">
    <w:altName w:val="Courier New"/>
    <w:charset w:val="00"/>
    <w:family w:val="roman"/>
    <w:pitch w:val="variable"/>
  </w:font>
  <w:font w:name="Trebuchet MS">
    <w:charset w:val="00"/>
    <w:family w:val="roman"/>
    <w:pitch w:val="variable"/>
  </w:font>
  <w:font w:name="Georgia">
    <w:charset w:val="00"/>
    <w:family w:val="roman"/>
    <w:pitch w:val="variable"/>
  </w:font>
  <w:font w:name="Titillium Web">
    <w:charset w:val="00"/>
    <w:family w:val="roman"/>
    <w:pitch w:val="variable"/>
  </w:font>
  <w:font w:name="Titillium Web">
    <w:charset w:val="00"/>
    <w:family w:val="auto"/>
    <w:pitch w:val="variable"/>
  </w:font>
  <w:font w:name="Noto Sans Symbols">
    <w:charset w:val="01"/>
    <w:family w:val="auto"/>
    <w:pitch w:val="default"/>
  </w:font>
  <w:font w:name="OpenSymbol">
    <w:altName w:val="Arial Unicode MS"/>
    <w:charset w:val="01"/>
    <w:family w:val="auto"/>
    <w:pitch w:val="variable"/>
  </w:font>
  <w:font w:name="Wingdings">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ind w:right="-568" w:hanging="0"/>
      <w:rPr/>
    </w:pPr>
    <w:r>
      <w:rPr/>
      <w:drawing>
        <wp:inline distT="0" distB="0" distL="0" distR="0">
          <wp:extent cx="1724025" cy="433705"/>
          <wp:effectExtent l="0" t="0" r="0" b="0"/>
          <wp:docPr id="1" name="Immagin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
                  <pic:cNvPicPr>
                    <a:picLocks noChangeAspect="1" noChangeArrowheads="1"/>
                  </pic:cNvPicPr>
                </pic:nvPicPr>
                <pic:blipFill>
                  <a:blip r:embed="rId1"/>
                  <a:stretch>
                    <a:fillRect/>
                  </a:stretch>
                </pic:blipFill>
                <pic:spPr bwMode="auto">
                  <a:xfrm>
                    <a:off x="0" y="0"/>
                    <a:ext cx="1724025" cy="433705"/>
                  </a:xfrm>
                  <a:prstGeom prst="rect">
                    <a:avLst/>
                  </a:prstGeom>
                </pic:spPr>
              </pic:pic>
            </a:graphicData>
          </a:graphic>
        </wp:inline>
      </w:drawing>
    </w:r>
    <w:r>
      <w:rPr/>
      <w:t xml:space="preserve"> </w:t>
    </w:r>
    <w:r>
      <w:rPr/>
      <w:drawing>
        <wp:inline distT="0" distB="0" distL="0" distR="0">
          <wp:extent cx="1587500" cy="480695"/>
          <wp:effectExtent l="0" t="0" r="0" b="0"/>
          <wp:docPr id="2" name="Immagin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
                  <pic:cNvPicPr>
                    <a:picLocks noChangeAspect="1" noChangeArrowheads="1"/>
                  </pic:cNvPicPr>
                </pic:nvPicPr>
                <pic:blipFill>
                  <a:blip r:embed="rId2"/>
                  <a:stretch>
                    <a:fillRect/>
                  </a:stretch>
                </pic:blipFill>
                <pic:spPr bwMode="auto">
                  <a:xfrm>
                    <a:off x="0" y="0"/>
                    <a:ext cx="1587500" cy="480695"/>
                  </a:xfrm>
                  <a:prstGeom prst="rect">
                    <a:avLst/>
                  </a:prstGeom>
                </pic:spPr>
              </pic:pic>
            </a:graphicData>
          </a:graphic>
        </wp:inline>
      </w:drawing>
    </w:r>
    <w:r>
      <w:rPr/>
      <w:t xml:space="preserve"> </w:t>
    </w:r>
    <w:r>
      <w:rPr/>
      <w:drawing>
        <wp:inline distT="0" distB="0" distL="0" distR="0">
          <wp:extent cx="2087245" cy="276860"/>
          <wp:effectExtent l="0" t="0" r="0" b="0"/>
          <wp:docPr id="3" name="Immagin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
                  <pic:cNvPicPr>
                    <a:picLocks noChangeAspect="1" noChangeArrowheads="1"/>
                  </pic:cNvPicPr>
                </pic:nvPicPr>
                <pic:blipFill>
                  <a:blip r:embed="rId3"/>
                  <a:stretch>
                    <a:fillRect/>
                  </a:stretch>
                </pic:blipFill>
                <pic:spPr bwMode="auto">
                  <a:xfrm>
                    <a:off x="0" y="0"/>
                    <a:ext cx="2087245" cy="276860"/>
                  </a:xfrm>
                  <a:prstGeom prst="rect">
                    <a:avLst/>
                  </a:prstGeom>
                </pic:spPr>
              </pic:pic>
            </a:graphicData>
          </a:graphic>
        </wp:inline>
      </w:drawing>
    </w:r>
    <w:r>
      <w:rPr/>
      <w:t xml:space="preserve"> </w:t>
    </w:r>
  </w:p>
  <w:p>
    <w:pPr>
      <w:pStyle w:val="LOnormal"/>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
      <w:lvlJc w:val="left"/>
      <w:pPr>
        <w:tabs>
          <w:tab w:val="num" w:pos="0"/>
        </w:tabs>
        <w:ind w:left="1080" w:hanging="360"/>
      </w:pPr>
      <w:rPr>
        <w:rFonts w:ascii="Noto Sans Symbols" w:hAnsi="Noto Sans Symbols" w:cs="Noto Sans Symbols" w:hint="default"/>
      </w:rPr>
    </w:lvl>
    <w:lvl w:ilvl="2">
      <w:start w:val="1"/>
      <w:numFmt w:val="bullet"/>
      <w:lvlText w:val="▪"/>
      <w:lvlJc w:val="left"/>
      <w:pPr>
        <w:tabs>
          <w:tab w:val="num" w:pos="0"/>
        </w:tabs>
        <w:ind w:left="1440" w:hanging="360"/>
      </w:pPr>
      <w:rPr>
        <w:rFonts w:ascii="Noto Sans Symbols" w:hAnsi="Noto Sans Symbols" w:cs="Noto Sans Symbols" w:hint="default"/>
      </w:rPr>
    </w:lvl>
    <w:lvl w:ilvl="3">
      <w:start w:val="1"/>
      <w:numFmt w:val="bullet"/>
      <w:lvlText w:val="●"/>
      <w:lvlJc w:val="left"/>
      <w:pPr>
        <w:tabs>
          <w:tab w:val="num" w:pos="0"/>
        </w:tabs>
        <w:ind w:left="1800" w:hanging="360"/>
      </w:pPr>
      <w:rPr>
        <w:rFonts w:ascii="Noto Sans Symbols" w:hAnsi="Noto Sans Symbols" w:cs="Noto Sans Symbols" w:hint="default"/>
      </w:rPr>
    </w:lvl>
    <w:lvl w:ilvl="4">
      <w:start w:val="1"/>
      <w:numFmt w:val="bullet"/>
      <w:lvlText w:val="◦"/>
      <w:lvlJc w:val="left"/>
      <w:pPr>
        <w:tabs>
          <w:tab w:val="num" w:pos="0"/>
        </w:tabs>
        <w:ind w:left="2160" w:hanging="360"/>
      </w:pPr>
      <w:rPr>
        <w:rFonts w:ascii="Noto Sans Symbols" w:hAnsi="Noto Sans Symbols" w:cs="Noto Sans Symbols" w:hint="default"/>
      </w:rPr>
    </w:lvl>
    <w:lvl w:ilvl="5">
      <w:start w:val="1"/>
      <w:numFmt w:val="bullet"/>
      <w:lvlText w:val="▪"/>
      <w:lvlJc w:val="left"/>
      <w:pPr>
        <w:tabs>
          <w:tab w:val="num" w:pos="0"/>
        </w:tabs>
        <w:ind w:left="2520" w:hanging="360"/>
      </w:pPr>
      <w:rPr>
        <w:rFonts w:ascii="Noto Sans Symbols" w:hAnsi="Noto Sans Symbols" w:cs="Noto Sans Symbols" w:hint="default"/>
      </w:rPr>
    </w:lvl>
    <w:lvl w:ilvl="6">
      <w:start w:val="1"/>
      <w:numFmt w:val="bullet"/>
      <w:lvlText w:val="●"/>
      <w:lvlJc w:val="left"/>
      <w:pPr>
        <w:tabs>
          <w:tab w:val="num" w:pos="0"/>
        </w:tabs>
        <w:ind w:left="2880" w:hanging="360"/>
      </w:pPr>
      <w:rPr>
        <w:rFonts w:ascii="Noto Sans Symbols" w:hAnsi="Noto Sans Symbols" w:cs="Noto Sans Symbols" w:hint="default"/>
      </w:rPr>
    </w:lvl>
    <w:lvl w:ilvl="7">
      <w:start w:val="1"/>
      <w:numFmt w:val="bullet"/>
      <w:lvlText w:val="◦"/>
      <w:lvlJc w:val="left"/>
      <w:pPr>
        <w:tabs>
          <w:tab w:val="num" w:pos="0"/>
        </w:tabs>
        <w:ind w:left="3240" w:hanging="360"/>
      </w:pPr>
      <w:rPr>
        <w:rFonts w:ascii="Noto Sans Symbols" w:hAnsi="Noto Sans Symbols" w:cs="Noto Sans Symbols" w:hint="default"/>
      </w:rPr>
    </w:lvl>
    <w:lvl w:ilvl="8">
      <w:start w:val="1"/>
      <w:numFmt w:val="bullet"/>
      <w:lvlText w:val="▪"/>
      <w:lvlJc w:val="left"/>
      <w:pPr>
        <w:tabs>
          <w:tab w:val="num" w:pos="0"/>
        </w:tabs>
        <w:ind w:left="3600" w:hanging="360"/>
      </w:pPr>
      <w:rPr>
        <w:rFonts w:ascii="Noto Sans Symbols" w:hAnsi="Noto Sans Symbols" w:cs="Noto Sans Symbols"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20"/>
  <w:defaultTabStop w:val="720"/>
  <w:autoHyphenation w:val="true"/>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SimSun" w:cs="Arial"/>
        <w:lang w:val="it-IT" w:eastAsia="zh-CN" w:bidi="hi-IN"/>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236a0"/>
    <w:pPr>
      <w:widowControl/>
      <w:suppressAutoHyphens w:val="false"/>
      <w:bidi w:val="0"/>
      <w:spacing w:lineRule="atLeast" w:line="1" w:before="0" w:after="0"/>
      <w:jc w:val="left"/>
      <w:textAlignment w:val="top"/>
      <w:outlineLvl w:val="0"/>
    </w:pPr>
    <w:rPr>
      <w:rFonts w:ascii="Times New Roman" w:hAnsi="Times New Roman" w:eastAsia="NSimSun" w:cs="Arial"/>
      <w:color w:val="auto"/>
      <w:kern w:val="0"/>
      <w:sz w:val="24"/>
      <w:szCs w:val="24"/>
      <w:lang w:eastAsia="ja-JP" w:bidi="ar-SA" w:val="it-IT"/>
    </w:rPr>
  </w:style>
  <w:style w:type="character" w:styleId="DefaultParagraphFont" w:default="1">
    <w:name w:val="Default Paragraph Font"/>
    <w:uiPriority w:val="1"/>
    <w:semiHidden/>
    <w:unhideWhenUsed/>
    <w:qFormat/>
    <w:rPr/>
  </w:style>
  <w:style w:type="character" w:styleId="WW8Num1z0" w:customStyle="1">
    <w:name w:val="WW8Num1z0"/>
    <w:qFormat/>
    <w:rsid w:val="008236a0"/>
    <w:rPr>
      <w:rFonts w:ascii="Symbol" w:hAnsi="Symbol" w:cs="Symbol"/>
      <w:w w:val="100"/>
      <w:position w:val="0"/>
      <w:sz w:val="20"/>
      <w:sz w:val="20"/>
      <w:effect w:val="none"/>
      <w:vertAlign w:val="baseline"/>
      <w:em w:val="none"/>
    </w:rPr>
  </w:style>
  <w:style w:type="character" w:styleId="WW8Num1z1" w:customStyle="1">
    <w:name w:val="WW8Num1z1"/>
    <w:qFormat/>
    <w:rsid w:val="008236a0"/>
    <w:rPr>
      <w:rFonts w:ascii="Courier New" w:hAnsi="Courier New" w:cs="Courier New"/>
      <w:w w:val="100"/>
      <w:position w:val="0"/>
      <w:sz w:val="20"/>
      <w:sz w:val="20"/>
      <w:effect w:val="none"/>
      <w:vertAlign w:val="baseline"/>
      <w:em w:val="none"/>
    </w:rPr>
  </w:style>
  <w:style w:type="character" w:styleId="WW8Num1z2" w:customStyle="1">
    <w:name w:val="WW8Num1z2"/>
    <w:qFormat/>
    <w:rsid w:val="008236a0"/>
    <w:rPr>
      <w:rFonts w:ascii="Wingdings" w:hAnsi="Wingdings" w:cs="Wingdings"/>
      <w:w w:val="100"/>
      <w:position w:val="0"/>
      <w:sz w:val="20"/>
      <w:sz w:val="20"/>
      <w:effect w:val="none"/>
      <w:vertAlign w:val="baseline"/>
      <w:em w:val="none"/>
    </w:rPr>
  </w:style>
  <w:style w:type="character" w:styleId="WW8Num2z0" w:customStyle="1">
    <w:name w:val="WW8Num2z0"/>
    <w:qFormat/>
    <w:rsid w:val="008236a0"/>
    <w:rPr>
      <w:rFonts w:ascii="Symbol" w:hAnsi="Symbol" w:cs="Symbol"/>
      <w:w w:val="100"/>
      <w:position w:val="0"/>
      <w:sz w:val="20"/>
      <w:sz w:val="20"/>
      <w:effect w:val="none"/>
      <w:vertAlign w:val="baseline"/>
      <w:em w:val="none"/>
    </w:rPr>
  </w:style>
  <w:style w:type="character" w:styleId="WW8Num2z1" w:customStyle="1">
    <w:name w:val="WW8Num2z1"/>
    <w:qFormat/>
    <w:rsid w:val="008236a0"/>
    <w:rPr>
      <w:rFonts w:ascii="Arial" w:hAnsi="Arial" w:eastAsia="MS Mincho" w:cs="Arial"/>
      <w:w w:val="100"/>
      <w:position w:val="0"/>
      <w:sz w:val="20"/>
      <w:sz w:val="20"/>
      <w:effect w:val="none"/>
      <w:vertAlign w:val="baseline"/>
      <w:em w:val="none"/>
    </w:rPr>
  </w:style>
  <w:style w:type="character" w:styleId="WW8Num2z2" w:customStyle="1">
    <w:name w:val="WW8Num2z2"/>
    <w:qFormat/>
    <w:rsid w:val="008236a0"/>
    <w:rPr>
      <w:rFonts w:ascii="Wingdings" w:hAnsi="Wingdings" w:cs="Wingdings"/>
      <w:w w:val="100"/>
      <w:position w:val="0"/>
      <w:sz w:val="20"/>
      <w:sz w:val="20"/>
      <w:effect w:val="none"/>
      <w:vertAlign w:val="baseline"/>
      <w:em w:val="none"/>
    </w:rPr>
  </w:style>
  <w:style w:type="character" w:styleId="WW8Num2z4" w:customStyle="1">
    <w:name w:val="WW8Num2z4"/>
    <w:qFormat/>
    <w:rsid w:val="008236a0"/>
    <w:rPr>
      <w:rFonts w:ascii="Courier New" w:hAnsi="Courier New" w:cs="Courier New"/>
      <w:w w:val="100"/>
      <w:position w:val="0"/>
      <w:sz w:val="20"/>
      <w:sz w:val="20"/>
      <w:effect w:val="none"/>
      <w:vertAlign w:val="baseline"/>
      <w:em w:val="none"/>
    </w:rPr>
  </w:style>
  <w:style w:type="character" w:styleId="Carpredefinitoparagrafo1" w:customStyle="1">
    <w:name w:val="Car. predefinito paragrafo1"/>
    <w:qFormat/>
    <w:rsid w:val="008236a0"/>
    <w:rPr>
      <w:w w:val="100"/>
      <w:position w:val="0"/>
      <w:sz w:val="20"/>
      <w:sz w:val="20"/>
      <w:effect w:val="none"/>
      <w:vertAlign w:val="baseline"/>
      <w:em w:val="none"/>
    </w:rPr>
  </w:style>
  <w:style w:type="character" w:styleId="CollegamentoInternet" w:customStyle="1">
    <w:name w:val="Collegamento Internet"/>
    <w:qFormat/>
    <w:rsid w:val="008236a0"/>
    <w:rPr>
      <w:color w:val="000080"/>
      <w:w w:val="100"/>
      <w:position w:val="0"/>
      <w:sz w:val="20"/>
      <w:sz w:val="20"/>
      <w:u w:val="single"/>
      <w:effect w:val="none"/>
      <w:vertAlign w:val="baseline"/>
      <w:em w:val="none"/>
    </w:rPr>
  </w:style>
  <w:style w:type="character" w:styleId="Punti" w:customStyle="1">
    <w:name w:val="Punti"/>
    <w:qFormat/>
    <w:rsid w:val="008236a0"/>
    <w:rPr>
      <w:rFonts w:ascii="OpenSymbol" w:hAnsi="OpenSymbol" w:eastAsia="OpenSymbol" w:cs="OpenSymbol"/>
    </w:rPr>
  </w:style>
  <w:style w:type="character" w:styleId="TestofumettoCarattere" w:customStyle="1">
    <w:name w:val="Testo fumetto Carattere"/>
    <w:basedOn w:val="DefaultParagraphFont"/>
    <w:link w:val="Testofumetto"/>
    <w:uiPriority w:val="99"/>
    <w:semiHidden/>
    <w:qFormat/>
    <w:rsid w:val="00772a6e"/>
    <w:rPr>
      <w:rFonts w:ascii="Tahoma" w:hAnsi="Tahoma" w:cs="Tahoma"/>
      <w:sz w:val="16"/>
      <w:szCs w:val="16"/>
      <w:lang w:eastAsia="ja-JP" w:bidi="ar-SA"/>
    </w:rPr>
  </w:style>
  <w:style w:type="character" w:styleId="IntestazioneCarattere" w:customStyle="1">
    <w:name w:val="Intestazione Carattere"/>
    <w:basedOn w:val="DefaultParagraphFont"/>
    <w:link w:val="Header"/>
    <w:uiPriority w:val="99"/>
    <w:semiHidden/>
    <w:qFormat/>
    <w:rsid w:val="00933293"/>
    <w:rPr>
      <w:sz w:val="24"/>
      <w:szCs w:val="24"/>
      <w:lang w:eastAsia="ja-JP" w:bidi="ar-SA"/>
    </w:rPr>
  </w:style>
  <w:style w:type="character" w:styleId="PidipaginaCarattere" w:customStyle="1">
    <w:name w:val="Piè di pagina Carattere"/>
    <w:basedOn w:val="DefaultParagraphFont"/>
    <w:link w:val="Footer"/>
    <w:uiPriority w:val="99"/>
    <w:semiHidden/>
    <w:qFormat/>
    <w:rsid w:val="00933293"/>
    <w:rPr>
      <w:sz w:val="24"/>
      <w:szCs w:val="24"/>
      <w:lang w:eastAsia="ja-JP" w:bidi="ar-SA"/>
    </w:rPr>
  </w:style>
  <w:style w:type="character" w:styleId="Strong">
    <w:name w:val="Strong"/>
    <w:basedOn w:val="DefaultParagraphFont"/>
    <w:uiPriority w:val="22"/>
    <w:qFormat/>
    <w:rsid w:val="00dd7ac4"/>
    <w:rPr>
      <w:b/>
      <w:bCs/>
    </w:rPr>
  </w:style>
  <w:style w:type="character" w:styleId="Carpredefinitoparagrafo">
    <w:name w:val="Car. predefinito paragrafo"/>
    <w:qFormat/>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rsid w:val="008236a0"/>
    <w:pPr>
      <w:spacing w:lineRule="auto" w:line="276" w:before="0" w:after="140"/>
    </w:pPr>
    <w:rPr/>
  </w:style>
  <w:style w:type="paragraph" w:styleId="Elenco">
    <w:name w:val="List"/>
    <w:basedOn w:val="Corpotesto1"/>
    <w:qFormat/>
    <w:rsid w:val="008236a0"/>
    <w:pPr/>
    <w:rPr/>
  </w:style>
  <w:style w:type="paragraph" w:styleId="Didascalia" w:customStyle="1">
    <w:name w:val="Caption"/>
    <w:basedOn w:val="Normal"/>
    <w:qFormat/>
    <w:rsid w:val="007b2be3"/>
    <w:pPr>
      <w:suppressLineNumbers/>
      <w:spacing w:before="120" w:after="120"/>
    </w:pPr>
    <w:rPr>
      <w:i/>
      <w:iCs/>
    </w:rPr>
  </w:style>
  <w:style w:type="paragraph" w:styleId="Indice" w:customStyle="1">
    <w:name w:val="Indice"/>
    <w:basedOn w:val="Normal"/>
    <w:qFormat/>
    <w:rsid w:val="008236a0"/>
    <w:pPr>
      <w:suppressLineNumbers/>
    </w:pPr>
    <w:rPr/>
  </w:style>
  <w:style w:type="paragraph" w:styleId="Titoloprincipale">
    <w:name w:val="Title"/>
    <w:basedOn w:val="LOnormal"/>
    <w:next w:val="Corpodeltesto"/>
    <w:qFormat/>
    <w:rsid w:val="008236a0"/>
    <w:pPr>
      <w:keepNext w:val="true"/>
      <w:keepLines/>
      <w:spacing w:before="480" w:after="120"/>
    </w:pPr>
    <w:rPr>
      <w:b/>
      <w:sz w:val="72"/>
      <w:szCs w:val="72"/>
    </w:rPr>
  </w:style>
  <w:style w:type="paragraph" w:styleId="Titolo11" w:customStyle="1">
    <w:name w:val="Titolo 11"/>
    <w:basedOn w:val="LOnormal"/>
    <w:next w:val="LOnormal"/>
    <w:qFormat/>
    <w:rsid w:val="008236a0"/>
    <w:pPr>
      <w:keepNext w:val="true"/>
      <w:keepLines/>
      <w:spacing w:before="480" w:after="120"/>
    </w:pPr>
    <w:rPr>
      <w:b/>
      <w:sz w:val="48"/>
      <w:szCs w:val="48"/>
    </w:rPr>
  </w:style>
  <w:style w:type="paragraph" w:styleId="Titolo21" w:customStyle="1">
    <w:name w:val="Titolo 21"/>
    <w:basedOn w:val="LOnormal"/>
    <w:next w:val="LOnormal"/>
    <w:qFormat/>
    <w:rsid w:val="008236a0"/>
    <w:pPr>
      <w:keepNext w:val="true"/>
      <w:keepLines/>
      <w:spacing w:before="360" w:after="80"/>
    </w:pPr>
    <w:rPr>
      <w:b/>
      <w:sz w:val="36"/>
      <w:szCs w:val="36"/>
    </w:rPr>
  </w:style>
  <w:style w:type="paragraph" w:styleId="Titolo31" w:customStyle="1">
    <w:name w:val="Titolo 31"/>
    <w:basedOn w:val="Titolo1"/>
    <w:next w:val="Corpotesto1"/>
    <w:qFormat/>
    <w:rsid w:val="008236a0"/>
    <w:pPr>
      <w:spacing w:before="140" w:after="0"/>
      <w:outlineLvl w:val="2"/>
    </w:pPr>
    <w:rPr>
      <w:rFonts w:ascii="Liberation Serif" w:hAnsi="Liberation Serif" w:eastAsia="SimSun"/>
      <w:b/>
      <w:bCs/>
      <w:color w:val="808080"/>
    </w:rPr>
  </w:style>
  <w:style w:type="paragraph" w:styleId="Titolo41" w:customStyle="1">
    <w:name w:val="Titolo 41"/>
    <w:basedOn w:val="LOnormal"/>
    <w:next w:val="LOnormal"/>
    <w:qFormat/>
    <w:rsid w:val="008236a0"/>
    <w:pPr>
      <w:keepNext w:val="true"/>
      <w:keepLines/>
      <w:spacing w:before="240" w:after="40"/>
    </w:pPr>
    <w:rPr>
      <w:b/>
      <w:sz w:val="24"/>
      <w:szCs w:val="24"/>
    </w:rPr>
  </w:style>
  <w:style w:type="paragraph" w:styleId="Titolo51" w:customStyle="1">
    <w:name w:val="Titolo 51"/>
    <w:basedOn w:val="LOnormal"/>
    <w:next w:val="LOnormal"/>
    <w:qFormat/>
    <w:rsid w:val="008236a0"/>
    <w:pPr>
      <w:keepNext w:val="true"/>
      <w:keepLines/>
      <w:spacing w:before="220" w:after="40"/>
    </w:pPr>
    <w:rPr>
      <w:b/>
      <w:sz w:val="22"/>
      <w:szCs w:val="22"/>
    </w:rPr>
  </w:style>
  <w:style w:type="paragraph" w:styleId="Titolo61" w:customStyle="1">
    <w:name w:val="Titolo 61"/>
    <w:basedOn w:val="LOnormal"/>
    <w:next w:val="LOnormal"/>
    <w:qFormat/>
    <w:rsid w:val="008236a0"/>
    <w:pPr>
      <w:keepNext w:val="true"/>
      <w:keepLines/>
      <w:spacing w:before="200" w:after="40"/>
    </w:pPr>
    <w:rPr>
      <w:b/>
    </w:rPr>
  </w:style>
  <w:style w:type="paragraph" w:styleId="Didascalia1" w:customStyle="1">
    <w:name w:val="Didascalia1"/>
    <w:basedOn w:val="Normal"/>
    <w:qFormat/>
    <w:rsid w:val="008236a0"/>
    <w:pPr>
      <w:suppressLineNumbers/>
      <w:spacing w:before="120" w:after="120"/>
    </w:pPr>
    <w:rPr>
      <w:i/>
      <w:iCs/>
    </w:rPr>
  </w:style>
  <w:style w:type="paragraph" w:styleId="LOnormal" w:customStyle="1">
    <w:name w:val="LO-normal"/>
    <w:qFormat/>
    <w:rsid w:val="008236a0"/>
    <w:pPr>
      <w:widowControl/>
      <w:suppressAutoHyphens w:val="true"/>
      <w:bidi w:val="0"/>
      <w:spacing w:before="0" w:after="0"/>
      <w:jc w:val="left"/>
    </w:pPr>
    <w:rPr>
      <w:rFonts w:ascii="Times New Roman" w:hAnsi="Times New Roman" w:eastAsia="NSimSun" w:cs="Arial"/>
      <w:color w:val="auto"/>
      <w:kern w:val="0"/>
      <w:sz w:val="24"/>
      <w:szCs w:val="20"/>
      <w:lang w:val="it-IT" w:eastAsia="zh-CN" w:bidi="hi-IN"/>
    </w:rPr>
  </w:style>
  <w:style w:type="paragraph" w:styleId="Titolo1" w:customStyle="1">
    <w:name w:val="Titolo1"/>
    <w:basedOn w:val="Normal"/>
    <w:next w:val="Corpotesto1"/>
    <w:qFormat/>
    <w:rsid w:val="008236a0"/>
    <w:pPr>
      <w:keepNext w:val="true"/>
      <w:spacing w:before="240" w:after="120"/>
    </w:pPr>
    <w:rPr>
      <w:rFonts w:ascii="Liberation Sans" w:hAnsi="Liberation Sans" w:eastAsia="Microsoft YaHei" w:cs="Lucida Sans"/>
      <w:sz w:val="28"/>
      <w:szCs w:val="28"/>
    </w:rPr>
  </w:style>
  <w:style w:type="paragraph" w:styleId="Corpotesto1" w:customStyle="1">
    <w:name w:val="Corpo testo1"/>
    <w:basedOn w:val="Normal"/>
    <w:qFormat/>
    <w:rsid w:val="008236a0"/>
    <w:pPr>
      <w:spacing w:lineRule="auto" w:line="288" w:before="0" w:after="140"/>
    </w:pPr>
    <w:rPr/>
  </w:style>
  <w:style w:type="paragraph" w:styleId="Testopreformattato" w:customStyle="1">
    <w:name w:val="Testo preformattato"/>
    <w:basedOn w:val="Normal"/>
    <w:qFormat/>
    <w:rsid w:val="008236a0"/>
    <w:pPr/>
    <w:rPr>
      <w:rFonts w:ascii="Liberation Mono" w:hAnsi="Liberation Mono" w:cs="Liberation Mono"/>
      <w:sz w:val="20"/>
      <w:szCs w:val="20"/>
    </w:rPr>
  </w:style>
  <w:style w:type="paragraph" w:styleId="Default" w:customStyle="1">
    <w:name w:val="Default"/>
    <w:qFormat/>
    <w:rsid w:val="008236a0"/>
    <w:pPr>
      <w:widowControl/>
      <w:suppressAutoHyphens w:val="true"/>
      <w:bidi w:val="0"/>
      <w:spacing w:lineRule="atLeast" w:line="1" w:before="0" w:after="0"/>
      <w:jc w:val="left"/>
      <w:textAlignment w:val="top"/>
      <w:outlineLvl w:val="0"/>
    </w:pPr>
    <w:rPr>
      <w:rFonts w:ascii="Trebuchet MS" w:hAnsi="Trebuchet MS" w:eastAsia="Batang" w:cs="Trebuchet MS"/>
      <w:color w:val="000000"/>
      <w:kern w:val="0"/>
      <w:sz w:val="24"/>
      <w:szCs w:val="24"/>
      <w:lang w:eastAsia="ko-KR" w:bidi="ar-SA" w:val="it-IT"/>
    </w:rPr>
  </w:style>
  <w:style w:type="paragraph" w:styleId="Sottotitolo">
    <w:name w:val="Subtitle"/>
    <w:basedOn w:val="LOnormal"/>
    <w:next w:val="LOnormal"/>
    <w:qFormat/>
    <w:rsid w:val="008236a0"/>
    <w:pPr>
      <w:keepNext w:val="true"/>
      <w:keepLines/>
      <w:spacing w:before="360" w:after="80"/>
    </w:pPr>
    <w:rPr>
      <w:rFonts w:ascii="Georgia" w:hAnsi="Georgia" w:eastAsia="Georgia" w:cs="Georgia"/>
      <w:i/>
      <w:color w:val="666666"/>
      <w:sz w:val="48"/>
      <w:szCs w:val="48"/>
    </w:rPr>
  </w:style>
  <w:style w:type="paragraph" w:styleId="Intestazioneepidipagina" w:customStyle="1">
    <w:name w:val="Intestazione e piè di pagina"/>
    <w:basedOn w:val="Normal"/>
    <w:qFormat/>
    <w:rsid w:val="008236a0"/>
    <w:pPr/>
    <w:rPr/>
  </w:style>
  <w:style w:type="paragraph" w:styleId="Intestazione1" w:customStyle="1">
    <w:name w:val="Intestazione1"/>
    <w:basedOn w:val="Intestazioneepidipagina"/>
    <w:qFormat/>
    <w:rsid w:val="008236a0"/>
    <w:pPr/>
    <w:rPr/>
  </w:style>
  <w:style w:type="paragraph" w:styleId="BalloonText">
    <w:name w:val="Balloon Text"/>
    <w:basedOn w:val="Normal"/>
    <w:link w:val="TestofumettoCarattere"/>
    <w:uiPriority w:val="99"/>
    <w:semiHidden/>
    <w:unhideWhenUsed/>
    <w:qFormat/>
    <w:rsid w:val="00772a6e"/>
    <w:pPr>
      <w:spacing w:lineRule="auto" w:line="240"/>
    </w:pPr>
    <w:rPr>
      <w:rFonts w:ascii="Tahoma" w:hAnsi="Tahoma" w:cs="Tahoma"/>
      <w:sz w:val="16"/>
      <w:szCs w:val="16"/>
    </w:rPr>
  </w:style>
  <w:style w:type="paragraph" w:styleId="Western" w:customStyle="1">
    <w:name w:val="western"/>
    <w:basedOn w:val="Normal"/>
    <w:qFormat/>
    <w:rsid w:val="00772a6e"/>
    <w:pPr>
      <w:spacing w:lineRule="auto" w:line="276" w:beforeAutospacing="1" w:after="142"/>
      <w:textAlignment w:val="auto"/>
    </w:pPr>
    <w:rPr>
      <w:rFonts w:eastAsia="Times New Roman" w:cs="Times New Roman"/>
      <w:color w:val="000000"/>
      <w:lang w:eastAsia="it-IT"/>
    </w:rPr>
  </w:style>
  <w:style w:type="paragraph" w:styleId="Intestazione" w:customStyle="1">
    <w:name w:val="Header"/>
    <w:basedOn w:val="Normal"/>
    <w:link w:val="IntestazioneCarattere"/>
    <w:uiPriority w:val="99"/>
    <w:semiHidden/>
    <w:unhideWhenUsed/>
    <w:rsid w:val="00933293"/>
    <w:pPr>
      <w:tabs>
        <w:tab w:val="clear" w:pos="720"/>
        <w:tab w:val="center" w:pos="4819" w:leader="none"/>
        <w:tab w:val="right" w:pos="9638" w:leader="none"/>
      </w:tabs>
      <w:spacing w:lineRule="auto" w:line="240"/>
    </w:pPr>
    <w:rPr/>
  </w:style>
  <w:style w:type="paragraph" w:styleId="Pidipagina" w:customStyle="1">
    <w:name w:val="Footer"/>
    <w:basedOn w:val="Normal"/>
    <w:link w:val="PidipaginaCarattere"/>
    <w:uiPriority w:val="99"/>
    <w:semiHidden/>
    <w:unhideWhenUsed/>
    <w:rsid w:val="00933293"/>
    <w:pPr>
      <w:tabs>
        <w:tab w:val="clear" w:pos="720"/>
        <w:tab w:val="center" w:pos="4819" w:leader="none"/>
        <w:tab w:val="right" w:pos="9638" w:leader="none"/>
      </w:tabs>
      <w:spacing w:lineRule="auto" w:line="240"/>
    </w:pPr>
    <w:rPr/>
  </w:style>
  <w:style w:type="paragraph" w:styleId="NormalWeb">
    <w:name w:val="Normal (Web)"/>
    <w:basedOn w:val="Normal"/>
    <w:uiPriority w:val="99"/>
    <w:semiHidden/>
    <w:unhideWhenUsed/>
    <w:qFormat/>
    <w:rsid w:val="00c82c04"/>
    <w:pPr>
      <w:spacing w:lineRule="auto" w:line="276" w:beforeAutospacing="1" w:after="142"/>
      <w:textAlignment w:val="auto"/>
    </w:pPr>
    <w:rPr>
      <w:rFonts w:eastAsia="Times New Roman" w:cs="Times New Roman"/>
      <w:color w:val="000000"/>
      <w:lang w:eastAsia="it-IT"/>
    </w:rPr>
  </w:style>
  <w:style w:type="numbering" w:styleId="NoList" w:default="1">
    <w:name w:val="No List"/>
    <w:uiPriority w:val="99"/>
    <w:semiHidden/>
    <w:unhideWhenUsed/>
    <w:qFormat/>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table" w:customStyle="1" w:styleId="TableNormal">
    <w:name w:val="Table Normal"/>
    <w:rsid w:val="008236a0"/>
    <w:tblPr>
      <w:tblCellMar>
        <w:top w:w="0" w:type="dxa"/>
        <w:left w:w="0" w:type="dxa"/>
        <w:bottom w:w="0" w:type="dxa"/>
        <w:right w:w="0" w:type="dxa"/>
      </w:tblCellMar>
    </w:tblPr>
  </w:style>
  <w:style w:type="table" w:customStyle="1" w:styleId="TableNormal0">
    <w:name w:val="Table Normal"/>
    <w:rsid w:val="008236a0"/>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customXml" Target="../customXml/item2.xml"/>
</Relationships>
</file>

<file path=word/_rels/header1.xml.rels><?xml version="1.0" encoding="UTF-8"?>
<Relationships xmlns="http://schemas.openxmlformats.org/package/2006/relationships"><Relationship Id="rId1" Type="http://schemas.openxmlformats.org/officeDocument/2006/relationships/image" Target="media/image1.wmf"/><Relationship Id="rId2" Type="http://schemas.openxmlformats.org/officeDocument/2006/relationships/image" Target="media/image2.wmf"/><Relationship Id="rId3" Type="http://schemas.openxmlformats.org/officeDocument/2006/relationships/image" Target="media/image3.wm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go:gDocsCustomXmlDataStorage xmlns:go="http://customooxmlschemas.google.com/" xmlns:r="http://schemas.openxmlformats.org/officeDocument/2006/relationships" uri="GoogleDocsCustomDataVersion1">
  <go:docsCustomData roundtripDataSignature="AMtx7migu3PdicKKXAVk0zctnrDNEOzEMA==">AMUW2mVIIWbw4LBDSzIdTw/zgPawOeSrvy67BKlhB5g6l5YJ5iZ/5ft/haA8mz9YGGeXkhokfoOtClSEgTUBATI8r4oLfPjUTNwbRt5buNKO5u0VFMjzxQ9+Qk0h9MCXO9U2GOWamdO3fXY6jwRrBd5upaL4ziPuqD+dvAwuN0j3k57XGjSH8Lk=</go:docsCustomData>
</go:gDocsCustomXmlDataStorage>
</file>

<file path=customXml/itemProps1.xml><?xml version="1.0" encoding="utf-8"?>
<ds:datastoreItem xmlns:ds="http://schemas.openxmlformats.org/officeDocument/2006/customXml" ds:itemID="{2FC2D241-63C3-40DA-A8CB-A5F10D0AE49B}">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Application>LibreOffice/6.4.7.2$Windows_X86_64 LibreOffice_project/639b8ac485750d5696d7590a72ef1b496725cfb5</Application>
  <Pages>3</Pages>
  <Words>827</Words>
  <Characters>5272</Characters>
  <CharactersWithSpaces>6076</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2022-12-12T18:18:00Z</dcterms:created>
  <dc:creator>balestrazzi rita</dc:creator>
  <dc:description/>
  <dc:language>it-IT</dc:language>
  <cp:lastModifiedBy/>
  <dcterms:modified xsi:type="dcterms:W3CDTF">2023-05-16T12:59:05Z</dcterms:modified>
  <cp:revision>26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